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63360" behindDoc="0" locked="0" layoutInCell="1" allowOverlap="1">
            <wp:simplePos x="0" y="0"/>
            <wp:positionH relativeFrom="margin">
              <wp:posOffset>-1246505</wp:posOffset>
            </wp:positionH>
            <wp:positionV relativeFrom="margin">
              <wp:posOffset>3620770</wp:posOffset>
            </wp:positionV>
            <wp:extent cx="7856855" cy="1207135"/>
            <wp:effectExtent l="19050" t="0" r="0" b="0"/>
            <wp:wrapThrough wrapText="bothSides">
              <wp:wrapPolygon>
                <wp:start x="-52" y="0"/>
                <wp:lineTo x="-52" y="21134"/>
                <wp:lineTo x="21577" y="21134"/>
                <wp:lineTo x="21577" y="0"/>
                <wp:lineTo x="-52" y="0"/>
              </wp:wrapPolygon>
            </wp:wrapThrough>
            <wp:docPr id="6" name="图片 4" descr="中兴通讯（售前文档）统一样式模板_V1.4_CH_画板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中兴通讯（售前文档）统一样式模板_V1.4_CH_画板 1.png"/>
                    <pic:cNvPicPr>
                      <a:picLocks noChangeAspect="1"/>
                    </pic:cNvPicPr>
                  </pic:nvPicPr>
                  <pic:blipFill>
                    <a:blip r:embed="rId11" cstate="print"/>
                    <a:srcRect t="81683"/>
                    <a:stretch>
                      <a:fillRect/>
                    </a:stretch>
                  </pic:blipFill>
                  <pic:spPr>
                    <a:xfrm>
                      <a:off x="0" y="0"/>
                      <a:ext cx="7856855" cy="1207135"/>
                    </a:xfrm>
                    <a:prstGeom prst="rect">
                      <a:avLst/>
                    </a:prstGeom>
                  </pic:spPr>
                </pic:pic>
              </a:graphicData>
            </a:graphic>
          </wp:anchor>
        </w:drawing>
      </w:r>
      <w:r>
        <w:drawing>
          <wp:anchor distT="0" distB="0" distL="114300" distR="114300" simplePos="0" relativeHeight="251653120" behindDoc="1" locked="0" layoutInCell="1" allowOverlap="1">
            <wp:simplePos x="0" y="0"/>
            <wp:positionH relativeFrom="margin">
              <wp:posOffset>-575310</wp:posOffset>
            </wp:positionH>
            <wp:positionV relativeFrom="margin">
              <wp:posOffset>-1382395</wp:posOffset>
            </wp:positionV>
            <wp:extent cx="6520815" cy="4989195"/>
            <wp:effectExtent l="19050" t="0" r="0" b="0"/>
            <wp:wrapNone/>
            <wp:docPr id="237" name="图片 235" descr="C:\Documents and Settings\chenyanqin\桌面\2014年5M内部用图\dv617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5" descr="C:\Documents and Settings\chenyanqin\桌面\2014年5M内部用图\dv617062.jpg"/>
                    <pic:cNvPicPr>
                      <a:picLocks noChangeAspect="1" noChangeArrowheads="1"/>
                    </pic:cNvPicPr>
                  </pic:nvPicPr>
                  <pic:blipFill>
                    <a:blip r:embed="rId12" cstate="print"/>
                    <a:srcRect l="7697" r="4976"/>
                    <a:stretch>
                      <a:fillRect/>
                    </a:stretch>
                  </pic:blipFill>
                  <pic:spPr>
                    <a:xfrm>
                      <a:off x="0" y="0"/>
                      <a:ext cx="6520296" cy="4987637"/>
                    </a:xfrm>
                    <a:prstGeom prst="rect">
                      <a:avLst/>
                    </a:prstGeom>
                    <a:noFill/>
                  </pic:spPr>
                </pic:pic>
              </a:graphicData>
            </a:graphic>
          </wp:anchor>
        </w:drawing>
      </w:r>
    </w:p>
    <w:tbl>
      <w:tblPr>
        <w:tblStyle w:val="8"/>
        <w:tblpPr w:leftFromText="187" w:rightFromText="187" w:vertAnchor="page" w:horzAnchor="page" w:tblpX="2240" w:tblpY="15456"/>
        <w:tblW w:w="8862" w:type="dxa"/>
        <w:tblInd w:w="0" w:type="dxa"/>
        <w:tblLayout w:type="fixed"/>
        <w:tblCellMar>
          <w:top w:w="0" w:type="dxa"/>
          <w:left w:w="108" w:type="dxa"/>
          <w:bottom w:w="0" w:type="dxa"/>
          <w:right w:w="108" w:type="dxa"/>
        </w:tblCellMar>
      </w:tblPr>
      <w:tblGrid>
        <w:gridCol w:w="8862"/>
      </w:tblGrid>
      <w:tr>
        <w:tblPrEx>
          <w:tblLayout w:type="fixed"/>
          <w:tblCellMar>
            <w:top w:w="0" w:type="dxa"/>
            <w:left w:w="108" w:type="dxa"/>
            <w:bottom w:w="0" w:type="dxa"/>
            <w:right w:w="108" w:type="dxa"/>
          </w:tblCellMar>
        </w:tblPrEx>
        <w:tc>
          <w:tcPr>
            <w:tcW w:w="8862" w:type="dxa"/>
          </w:tcPr>
          <w:p/>
        </w:tc>
      </w:tr>
    </w:tbl>
    <w:p>
      <w:pPr>
        <w:pStyle w:val="23"/>
        <w:outlineLvl w:val="0"/>
      </w:pPr>
      <w:r>
        <w:rPr>
          <w:rFonts w:ascii="Cambria" w:hAnsi="Cambria"/>
          <w:caps/>
        </w:rPr>
        <mc:AlternateContent>
          <mc:Choice Requires="wps">
            <w:drawing>
              <wp:anchor distT="0" distB="0" distL="114300" distR="114300" simplePos="0" relativeHeight="251656192" behindDoc="0" locked="0" layoutInCell="1" allowOverlap="1">
                <wp:simplePos x="0" y="0"/>
                <wp:positionH relativeFrom="column">
                  <wp:posOffset>-619760</wp:posOffset>
                </wp:positionH>
                <wp:positionV relativeFrom="paragraph">
                  <wp:posOffset>4655820</wp:posOffset>
                </wp:positionV>
                <wp:extent cx="6602730" cy="1485900"/>
                <wp:effectExtent l="0" t="0" r="0" b="0"/>
                <wp:wrapNone/>
                <wp:docPr id="4" name="文本框 219"/>
                <wp:cNvGraphicFramePr/>
                <a:graphic xmlns:a="http://schemas.openxmlformats.org/drawingml/2006/main">
                  <a:graphicData uri="http://schemas.microsoft.com/office/word/2010/wordprocessingShape">
                    <wps:wsp>
                      <wps:cNvSpPr txBox="1"/>
                      <wps:spPr>
                        <a:xfrm>
                          <a:off x="0" y="0"/>
                          <a:ext cx="6602730" cy="1485900"/>
                        </a:xfrm>
                        <a:prstGeom prst="rect">
                          <a:avLst/>
                        </a:prstGeom>
                        <a:noFill/>
                        <a:ln w="9525">
                          <a:noFill/>
                        </a:ln>
                      </wps:spPr>
                      <wps:txbx>
                        <w:txbxContent>
                          <w:p>
                            <w:pPr>
                              <w:rPr>
                                <w:rFonts w:hint="eastAsia" w:eastAsia="微软雅黑" w:cs="Arial"/>
                                <w:b/>
                                <w:color w:val="007DFF"/>
                                <w:sz w:val="72"/>
                                <w:szCs w:val="72"/>
                              </w:rPr>
                            </w:pPr>
                            <w:r>
                              <w:rPr>
                                <w:rFonts w:eastAsia="微软雅黑" w:cs="Arial"/>
                                <w:b/>
                                <w:color w:val="007DFF"/>
                                <w:sz w:val="72"/>
                                <w:szCs w:val="72"/>
                              </w:rPr>
                              <w:t>ZXSEC US</w:t>
                            </w:r>
                            <w:r>
                              <w:rPr>
                                <w:rFonts w:hint="eastAsia" w:eastAsia="微软雅黑" w:cs="Arial"/>
                                <w:b/>
                                <w:color w:val="007DFF"/>
                                <w:sz w:val="72"/>
                                <w:szCs w:val="72"/>
                              </w:rPr>
                              <w:t>2</w:t>
                            </w:r>
                            <w:r>
                              <w:rPr>
                                <w:rFonts w:hint="eastAsia" w:eastAsia="微软雅黑" w:cs="Arial"/>
                                <w:b/>
                                <w:color w:val="007DFF"/>
                                <w:sz w:val="72"/>
                                <w:szCs w:val="72"/>
                                <w:lang w:val="en-US" w:eastAsia="zh-CN"/>
                              </w:rPr>
                              <w:t>68</w:t>
                            </w:r>
                            <w:r>
                              <w:rPr>
                                <w:rFonts w:hint="eastAsia" w:eastAsia="微软雅黑" w:cs="Arial"/>
                                <w:b/>
                                <w:color w:val="007DFF"/>
                                <w:sz w:val="72"/>
                                <w:szCs w:val="72"/>
                              </w:rPr>
                              <w:t>0B NGFW Datasheet</w:t>
                            </w:r>
                          </w:p>
                          <w:p>
                            <w:pPr>
                              <w:rPr>
                                <w:rFonts w:eastAsia="微软雅黑" w:cs="Arial"/>
                                <w:b/>
                                <w:color w:val="007DFF"/>
                                <w:sz w:val="32"/>
                                <w:szCs w:val="32"/>
                              </w:rPr>
                            </w:pPr>
                            <w:r>
                              <w:rPr>
                                <w:rFonts w:eastAsia="微软雅黑" w:cs="Arial"/>
                                <w:b/>
                                <w:color w:val="7F7F7F" w:themeColor="background1" w:themeShade="80"/>
                                <w:sz w:val="32"/>
                                <w:szCs w:val="32"/>
                              </w:rPr>
                              <w:t>High Performance Next Generation/Edge Firewall</w:t>
                            </w:r>
                            <w:r>
                              <w:rPr>
                                <w:rFonts w:hint="eastAsia" w:eastAsia="微软雅黑" w:cs="Arial"/>
                                <w:b/>
                                <w:color w:val="7F7F7F" w:themeColor="background1" w:themeShade="80"/>
                                <w:sz w:val="32"/>
                                <w:szCs w:val="32"/>
                              </w:rPr>
                              <w:t xml:space="preserve"> </w:t>
                            </w:r>
                            <w:r>
                              <w:rPr>
                                <w:rFonts w:eastAsia="微软雅黑" w:cs="Arial"/>
                                <w:b/>
                                <w:color w:val="7F7F7F" w:themeColor="background1" w:themeShade="80"/>
                                <w:sz w:val="32"/>
                                <w:szCs w:val="32"/>
                              </w:rPr>
                              <w:t>for the Enterprise</w:t>
                            </w:r>
                          </w:p>
                          <w:p>
                            <w:pPr>
                              <w:rPr>
                                <w:rFonts w:hint="eastAsia" w:eastAsia="微软雅黑" w:cs="Arial"/>
                                <w:b/>
                                <w:color w:val="007DFF"/>
                                <w:sz w:val="72"/>
                                <w:szCs w:val="72"/>
                              </w:rPr>
                            </w:pPr>
                          </w:p>
                        </w:txbxContent>
                      </wps:txbx>
                      <wps:bodyPr upright="1"/>
                    </wps:wsp>
                  </a:graphicData>
                </a:graphic>
              </wp:anchor>
            </w:drawing>
          </mc:Choice>
          <mc:Fallback>
            <w:pict>
              <v:shape id="文本框 219" o:spid="_x0000_s1026" o:spt="202" type="#_x0000_t202" style="position:absolute;left:0pt;margin-left:-48.8pt;margin-top:366.6pt;height:117pt;width:519.9pt;z-index:251656192;mso-width-relative:page;mso-height-relative:page;" filled="f" stroked="f" coordsize="21600,21600" o:gfxdata="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W4f62AAAAAsBAAAPAAAAAAAAAAEA&#10;IAAAACIAAABkcnMvZG93bnJldi54bWxQSwECFAAUAAAACACHTuJAR9pGDJ0BAAAMAwAADgAAAAAA&#10;AAABACAAAAAnAQAAZHJzL2Uyb0RvYy54bWxQSwUGAAAAAAYABgBZAQAANgUAAAAA&#10;">
                <v:fill on="f" focussize="0,0"/>
                <v:stroke on="f"/>
                <v:imagedata o:title=""/>
                <o:lock v:ext="edit" aspectratio="f"/>
                <v:textbox>
                  <w:txbxContent>
                    <w:p>
                      <w:pPr>
                        <w:rPr>
                          <w:rFonts w:hint="eastAsia" w:eastAsia="微软雅黑" w:cs="Arial"/>
                          <w:b/>
                          <w:color w:val="007DFF"/>
                          <w:sz w:val="72"/>
                          <w:szCs w:val="72"/>
                        </w:rPr>
                      </w:pPr>
                      <w:r>
                        <w:rPr>
                          <w:rFonts w:eastAsia="微软雅黑" w:cs="Arial"/>
                          <w:b/>
                          <w:color w:val="007DFF"/>
                          <w:sz w:val="72"/>
                          <w:szCs w:val="72"/>
                        </w:rPr>
                        <w:t>ZXSEC US</w:t>
                      </w:r>
                      <w:r>
                        <w:rPr>
                          <w:rFonts w:hint="eastAsia" w:eastAsia="微软雅黑" w:cs="Arial"/>
                          <w:b/>
                          <w:color w:val="007DFF"/>
                          <w:sz w:val="72"/>
                          <w:szCs w:val="72"/>
                        </w:rPr>
                        <w:t>2</w:t>
                      </w:r>
                      <w:r>
                        <w:rPr>
                          <w:rFonts w:hint="eastAsia" w:eastAsia="微软雅黑" w:cs="Arial"/>
                          <w:b/>
                          <w:color w:val="007DFF"/>
                          <w:sz w:val="72"/>
                          <w:szCs w:val="72"/>
                          <w:lang w:val="en-US" w:eastAsia="zh-CN"/>
                        </w:rPr>
                        <w:t>68</w:t>
                      </w:r>
                      <w:r>
                        <w:rPr>
                          <w:rFonts w:hint="eastAsia" w:eastAsia="微软雅黑" w:cs="Arial"/>
                          <w:b/>
                          <w:color w:val="007DFF"/>
                          <w:sz w:val="72"/>
                          <w:szCs w:val="72"/>
                        </w:rPr>
                        <w:t>0B NGFW Datasheet</w:t>
                      </w:r>
                    </w:p>
                    <w:p>
                      <w:pPr>
                        <w:rPr>
                          <w:rFonts w:eastAsia="微软雅黑" w:cs="Arial"/>
                          <w:b/>
                          <w:color w:val="007DFF"/>
                          <w:sz w:val="32"/>
                          <w:szCs w:val="32"/>
                        </w:rPr>
                      </w:pPr>
                      <w:r>
                        <w:rPr>
                          <w:rFonts w:eastAsia="微软雅黑" w:cs="Arial"/>
                          <w:b/>
                          <w:color w:val="7F7F7F" w:themeColor="background1" w:themeShade="80"/>
                          <w:sz w:val="32"/>
                          <w:szCs w:val="32"/>
                        </w:rPr>
                        <w:t>High Performance Next Generation/Edge Firewall</w:t>
                      </w:r>
                      <w:r>
                        <w:rPr>
                          <w:rFonts w:hint="eastAsia" w:eastAsia="微软雅黑" w:cs="Arial"/>
                          <w:b/>
                          <w:color w:val="7F7F7F" w:themeColor="background1" w:themeShade="80"/>
                          <w:sz w:val="32"/>
                          <w:szCs w:val="32"/>
                        </w:rPr>
                        <w:t xml:space="preserve"> </w:t>
                      </w:r>
                      <w:r>
                        <w:rPr>
                          <w:rFonts w:eastAsia="微软雅黑" w:cs="Arial"/>
                          <w:b/>
                          <w:color w:val="7F7F7F" w:themeColor="background1" w:themeShade="80"/>
                          <w:sz w:val="32"/>
                          <w:szCs w:val="32"/>
                        </w:rPr>
                        <w:t>for the Enterprise</w:t>
                      </w:r>
                    </w:p>
                    <w:p>
                      <w:pPr>
                        <w:rPr>
                          <w:rFonts w:hint="eastAsia" w:eastAsia="微软雅黑" w:cs="Arial"/>
                          <w:b/>
                          <w:color w:val="007DFF"/>
                          <w:sz w:val="72"/>
                          <w:szCs w:val="72"/>
                        </w:rPr>
                      </w:pPr>
                    </w:p>
                  </w:txbxContent>
                </v:textbox>
              </v:shape>
            </w:pict>
          </mc:Fallback>
        </mc:AlternateContent>
      </w:r>
      <w:r>
        <w:rPr>
          <w:rFonts w:hint="eastAsia"/>
        </w:rPr>
        <w:t xml:space="preserve"> </w:t>
      </w:r>
      <w:r>
        <w:br w:type="page"/>
      </w:r>
      <w:r>
        <w:rPr>
          <w:rFonts w:hint="eastAsia"/>
        </w:rPr>
        <w:t xml:space="preserve">Next Generation Firewall </w:t>
      </w:r>
      <w:r>
        <w:t xml:space="preserve">ZXSEC US </w:t>
      </w:r>
      <w:r>
        <w:rPr>
          <w:rFonts w:hint="eastAsia"/>
        </w:rPr>
        <w:t xml:space="preserve">Series </w:t>
      </w:r>
    </w:p>
    <w:p>
      <w:pPr>
        <w:pStyle w:val="24"/>
      </w:pPr>
      <w:r>
        <w:t>Overview</w:t>
      </w:r>
    </w:p>
    <w:p>
      <w:pPr>
        <w:pStyle w:val="13"/>
        <w:rPr>
          <w:rFonts w:hint="eastAsia"/>
        </w:rPr>
      </w:pPr>
      <w:r>
        <w:t>Next Generation Firewall ZXSEC US Series consolidated security platforms deliver unmatched performance and protection while simplifying the network. ZXSEC US offers models to satisfy any deployment requirement from the ZXSEC US300B for small offices to the ZXSEC US6</w:t>
      </w:r>
      <w:r>
        <w:rPr>
          <w:rFonts w:hint="eastAsia"/>
          <w:lang w:val="en-US" w:eastAsia="zh-CN"/>
        </w:rPr>
        <w:t>820B</w:t>
      </w:r>
      <w:r>
        <w:t xml:space="preserve"> for large enterprises, service providers and carriers. ZXSEC US series A Products integrate the operating system with ASIC processor platform. ZXSEC US series B Products provide MIPS processor platform and the latest-generation CPUs to provide comprehensive, high-performance security. Each ZXSEC US includes the widest range of security and networking functions on the market, including:</w:t>
      </w:r>
    </w:p>
    <w:p>
      <w:pPr>
        <w:pStyle w:val="13"/>
      </w:pPr>
      <w:r>
        <w:t>Firewall, VPN, and Traffic Shaping</w:t>
      </w:r>
    </w:p>
    <w:p>
      <w:pPr>
        <w:pStyle w:val="13"/>
      </w:pPr>
      <w:r>
        <w:t>Intrusion Prevention System (IPS)</w:t>
      </w:r>
    </w:p>
    <w:p>
      <w:pPr>
        <w:pStyle w:val="13"/>
      </w:pPr>
      <w:r>
        <w:t>Antivirus/Antispyware/Antimalware</w:t>
      </w:r>
    </w:p>
    <w:p>
      <w:pPr>
        <w:pStyle w:val="13"/>
      </w:pPr>
      <w:r>
        <w:t>Application Control</w:t>
      </w:r>
    </w:p>
    <w:p>
      <w:pPr>
        <w:pStyle w:val="13"/>
      </w:pPr>
      <w:r>
        <w:t>Data Loss Prevention (DLP)</w:t>
      </w:r>
    </w:p>
    <w:p>
      <w:pPr>
        <w:pStyle w:val="13"/>
      </w:pPr>
      <w:r>
        <w:t>IPv6 Support</w:t>
      </w:r>
    </w:p>
    <w:p>
      <w:pPr>
        <w:pStyle w:val="13"/>
      </w:pPr>
      <w:r>
        <w:t>Web Filtering</w:t>
      </w:r>
    </w:p>
    <w:p>
      <w:pPr>
        <w:pStyle w:val="13"/>
      </w:pPr>
      <w:r>
        <w:t>Anti</w:t>
      </w:r>
      <w:r>
        <w:rPr>
          <w:rFonts w:hint="eastAsia"/>
        </w:rPr>
        <w:t xml:space="preserve"> </w:t>
      </w:r>
      <w:r>
        <w:t>spam</w:t>
      </w:r>
    </w:p>
    <w:p>
      <w:pPr>
        <w:pStyle w:val="13"/>
      </w:pPr>
      <w:r>
        <w:t>VoIP Support</w:t>
      </w:r>
    </w:p>
    <w:p>
      <w:pPr>
        <w:pStyle w:val="13"/>
      </w:pPr>
      <w:r>
        <w:t xml:space="preserve">Layer 2/3 Routing </w:t>
      </w:r>
    </w:p>
    <w:p>
      <w:pPr>
        <w:pStyle w:val="13"/>
      </w:pPr>
      <w:r>
        <w:t>ZXSEC US appliances provide enterprise-class protection against network, content, and application-level threats. Dynamic updates ensure the customer’s systems are protected against the latest threats. ZXSEC US platforms incorporate sophisticated networking features, such as high availability (active/active, active/passive) for maximum network uptime, and virtual domain (VDOM) capabilities to separate various networks requiring different security policies.</w:t>
      </w:r>
    </w:p>
    <w:p>
      <w:pPr>
        <w:pStyle w:val="24"/>
      </w:pPr>
      <w:r>
        <w:t>Features</w:t>
      </w:r>
    </w:p>
    <w:p>
      <w:pPr>
        <w:pStyle w:val="13"/>
      </w:pPr>
      <w:r>
        <w:t>ZXSEC US Series next generation firewalls provide visibility and control of web applications regardless of port, protocol, or evasive action. It can identify and prevent potential threats associated with high-risk applications while providing policy-based control over applications, users, and user-groups. Policies can be defined that guarantee bandwidth to mission-critical applications while restricting or blocking inappropriate or malicious applications. ZXSEC US Series firewalls incorporate comprehensive network security and advanced firewall features. They provide superior price performance, excellent energy efficiency, and a smaller size when compared to competing products.</w:t>
      </w:r>
    </w:p>
    <w:p>
      <w:pPr>
        <w:pStyle w:val="18"/>
        <w:rPr>
          <w:szCs w:val="44"/>
        </w:rPr>
      </w:pPr>
      <w:r>
        <w:rPr>
          <w:szCs w:val="44"/>
        </w:rPr>
        <w:t>Granular Application Control</w:t>
      </w:r>
    </w:p>
    <w:p>
      <w:pPr>
        <w:pStyle w:val="13"/>
      </w:pPr>
      <w:r>
        <w:t>ZXSEC US Series firewalls provide granular application control. Administrators can build policies that allow specific users or user-groups to access selected applications. (Allow Marketing to access Facebook). It is even possible to limit access to certain features within an application. (Allow Marketing to access MSN IM but Not file sharing). Policies can also be defined that block or limit access to applications. For example, certain games may be blocked during work hours but allowed after work hours. Alternatively, some applications may be allowed during work hours but with limited bandwidth.</w:t>
      </w:r>
    </w:p>
    <w:p>
      <w:pPr>
        <w:pStyle w:val="18"/>
        <w:rPr>
          <w:szCs w:val="44"/>
        </w:rPr>
      </w:pPr>
      <w:r>
        <w:rPr>
          <w:szCs w:val="44"/>
        </w:rPr>
        <w:t>Proactive Threat Protection</w:t>
      </w:r>
    </w:p>
    <w:p>
      <w:pPr>
        <w:pStyle w:val="13"/>
      </w:pPr>
      <w:r>
        <w:t>ZXSEC US Series firewalls provide real-time protection for application and network attacks including viruses, spyware, worms, botnet</w:t>
      </w:r>
      <w:r>
        <w:rPr>
          <w:rFonts w:hint="eastAsia"/>
        </w:rPr>
        <w:t xml:space="preserve"> </w:t>
      </w:r>
      <w:r>
        <w:t>, ARP spoofing, DoS/DDoS, Trojans, buffer overflows, and SQL injections. It incorporates a unified malware detection engine that shares packet details with multiple security defenses (IPS, URL filtering, and Anti-Virus), which significantly reduces latency.</w:t>
      </w:r>
    </w:p>
    <w:p>
      <w:pPr>
        <w:pStyle w:val="18"/>
        <w:rPr>
          <w:szCs w:val="44"/>
        </w:rPr>
      </w:pPr>
      <w:r>
        <w:rPr>
          <w:szCs w:val="44"/>
        </w:rPr>
        <w:t>Visibility and Control</w:t>
      </w:r>
    </w:p>
    <w:p>
      <w:pPr>
        <w:pStyle w:val="13"/>
      </w:pPr>
      <w:r>
        <w:t>ZXSEC US Series provides visibility and control of network traffic. An intuitive user interface displays all applications traversing the network along with application categories and bandwidth. An administrator can quickly choose an application and see all the users who are accessing that application along with bandwidth consumption. If a particular user is of interest the administrator can see all the applications that user is using - now and in the past. Inappropriate applications can be blocked or limited by bandwidth or time of day. Multiple reports show top applications, top users, top URLs, top URL categories, top threats, etc.</w:t>
      </w:r>
    </w:p>
    <w:p>
      <w:pPr>
        <w:pStyle w:val="18"/>
        <w:rPr>
          <w:szCs w:val="44"/>
        </w:rPr>
      </w:pPr>
      <w:r>
        <w:rPr>
          <w:szCs w:val="44"/>
        </w:rPr>
        <w:t>Deeper Visibility</w:t>
      </w:r>
    </w:p>
    <w:p>
      <w:pPr>
        <w:pStyle w:val="13"/>
      </w:pPr>
      <w:r>
        <w:t>With powerful intrusion prevention, application control and antimalware intelligence,</w:t>
      </w:r>
      <w:r>
        <w:rPr>
          <w:rFonts w:hint="eastAsia"/>
        </w:rPr>
        <w:t xml:space="preserve"> </w:t>
      </w:r>
      <w:r>
        <w:t>the ZXSEC US allows you to look deeper into your content, applications, user</w:t>
      </w:r>
      <w:r>
        <w:rPr>
          <w:rFonts w:hint="eastAsia"/>
        </w:rPr>
        <w:t xml:space="preserve"> </w:t>
      </w:r>
      <w:r>
        <w:t>and device behavior. Rich console views and reports together with a flexible policy</w:t>
      </w:r>
      <w:r>
        <w:rPr>
          <w:rFonts w:hint="eastAsia"/>
        </w:rPr>
        <w:t xml:space="preserve"> </w:t>
      </w:r>
      <w:r>
        <w:t>engine provide the visibility and control you need to empower employees yet secure</w:t>
      </w:r>
      <w:r>
        <w:rPr>
          <w:rFonts w:hint="eastAsia"/>
        </w:rPr>
        <w:t xml:space="preserve"> </w:t>
      </w:r>
      <w:r>
        <w:t>your enterprise.</w:t>
      </w:r>
    </w:p>
    <w:p>
      <w:pPr>
        <w:pStyle w:val="18"/>
        <w:rPr>
          <w:szCs w:val="44"/>
        </w:rPr>
      </w:pPr>
      <w:r>
        <w:rPr>
          <w:szCs w:val="44"/>
        </w:rPr>
        <w:t>Industry Validation</w:t>
      </w:r>
    </w:p>
    <w:p>
      <w:pPr>
        <w:pStyle w:val="13"/>
      </w:pPr>
      <w:r>
        <w:t xml:space="preserve">The </w:t>
      </w:r>
      <w:r>
        <w:rPr>
          <w:rFonts w:hint="eastAsia"/>
        </w:rPr>
        <w:t xml:space="preserve">US </w:t>
      </w:r>
      <w:r>
        <w:t>family of physical and virtual appliances</w:t>
      </w:r>
      <w:r>
        <w:rPr>
          <w:rFonts w:hint="eastAsia"/>
        </w:rPr>
        <w:t xml:space="preserve"> </w:t>
      </w:r>
      <w:r>
        <w:t>has earned more certifications than any other vendor by</w:t>
      </w:r>
      <w:r>
        <w:rPr>
          <w:rFonts w:hint="eastAsia"/>
        </w:rPr>
        <w:t xml:space="preserve"> </w:t>
      </w:r>
      <w:r>
        <w:t>consistently meeting rigorous third-party standards. Our</w:t>
      </w:r>
      <w:r>
        <w:rPr>
          <w:rFonts w:hint="eastAsia"/>
        </w:rPr>
        <w:t xml:space="preserve"> </w:t>
      </w:r>
      <w:r>
        <w:t>industry-leading technology provides you with air-tight security</w:t>
      </w:r>
      <w:r>
        <w:rPr>
          <w:rFonts w:hint="eastAsia"/>
        </w:rPr>
        <w:t xml:space="preserve"> </w:t>
      </w:r>
      <w:r>
        <w:t>which you can safely count on.</w:t>
      </w:r>
    </w:p>
    <w:p>
      <w:pPr>
        <w:pStyle w:val="18"/>
        <w:rPr>
          <w:szCs w:val="44"/>
        </w:rPr>
      </w:pPr>
      <w:r>
        <w:rPr>
          <w:szCs w:val="44"/>
        </w:rPr>
        <w:t>Complete and Real-time Security</w:t>
      </w:r>
    </w:p>
    <w:p>
      <w:pPr>
        <w:pStyle w:val="13"/>
      </w:pPr>
      <w:r>
        <w:rPr>
          <w:rFonts w:hint="eastAsia"/>
        </w:rPr>
        <w:t>ZXSEC US</w:t>
      </w:r>
      <w:r>
        <w:t xml:space="preserve"> Subscription Services provide</w:t>
      </w:r>
      <w:r>
        <w:rPr>
          <w:rFonts w:hint="eastAsia"/>
        </w:rPr>
        <w:t xml:space="preserve"> </w:t>
      </w:r>
      <w:r>
        <w:t>automated, real-time, up-to-date protection against</w:t>
      </w:r>
      <w:r>
        <w:rPr>
          <w:rFonts w:hint="eastAsia"/>
        </w:rPr>
        <w:t xml:space="preserve"> </w:t>
      </w:r>
      <w:r>
        <w:t>the latest security threats. Our threat research labs</w:t>
      </w:r>
      <w:r>
        <w:rPr>
          <w:rFonts w:hint="eastAsia"/>
        </w:rPr>
        <w:t xml:space="preserve"> </w:t>
      </w:r>
      <w:r>
        <w:t>are located worldwide, providing 24x7 updates</w:t>
      </w:r>
      <w:r>
        <w:rPr>
          <w:rFonts w:hint="eastAsia"/>
        </w:rPr>
        <w:t xml:space="preserve"> </w:t>
      </w:r>
      <w:r>
        <w:t>when you most need it.</w:t>
      </w:r>
    </w:p>
    <w:p>
      <w:pPr>
        <w:pStyle w:val="18"/>
        <w:rPr>
          <w:szCs w:val="44"/>
        </w:rPr>
      </w:pPr>
      <w:r>
        <w:rPr>
          <w:szCs w:val="44"/>
        </w:rPr>
        <w:t>World-Class Technical Support and</w:t>
      </w:r>
      <w:r>
        <w:rPr>
          <w:rFonts w:hint="eastAsia"/>
          <w:szCs w:val="44"/>
        </w:rPr>
        <w:t xml:space="preserve"> </w:t>
      </w:r>
      <w:r>
        <w:rPr>
          <w:szCs w:val="44"/>
        </w:rPr>
        <w:t>Documentation</w:t>
      </w:r>
    </w:p>
    <w:p>
      <w:pPr>
        <w:pStyle w:val="13"/>
      </w:pPr>
      <w:r>
        <w:rPr>
          <w:rFonts w:hint="eastAsia"/>
        </w:rPr>
        <w:t>ZTE</w:t>
      </w:r>
      <w:r>
        <w:t xml:space="preserve"> support offerings provide comprehensive</w:t>
      </w:r>
      <w:r>
        <w:rPr>
          <w:rFonts w:hint="eastAsia"/>
        </w:rPr>
        <w:t xml:space="preserve"> </w:t>
      </w:r>
      <w:r>
        <w:t xml:space="preserve">global support for all </w:t>
      </w:r>
      <w:r>
        <w:rPr>
          <w:rFonts w:hint="eastAsia"/>
        </w:rPr>
        <w:t>ZTE</w:t>
      </w:r>
      <w:r>
        <w:t xml:space="preserve"> products and services. You can</w:t>
      </w:r>
      <w:r>
        <w:rPr>
          <w:rFonts w:hint="eastAsia"/>
        </w:rPr>
        <w:t xml:space="preserve"> </w:t>
      </w:r>
      <w:r>
        <w:t xml:space="preserve">rest assured your </w:t>
      </w:r>
      <w:r>
        <w:rPr>
          <w:rFonts w:hint="eastAsia"/>
        </w:rPr>
        <w:t>ZTE</w:t>
      </w:r>
      <w:r>
        <w:t xml:space="preserve"> security products are performing</w:t>
      </w:r>
      <w:r>
        <w:rPr>
          <w:rFonts w:hint="eastAsia"/>
        </w:rPr>
        <w:t xml:space="preserve"> </w:t>
      </w:r>
      <w:r>
        <w:t>optimally and protecting your users, applications, and data</w:t>
      </w:r>
      <w:r>
        <w:rPr>
          <w:rFonts w:hint="eastAsia"/>
        </w:rPr>
        <w:t xml:space="preserve"> </w:t>
      </w:r>
      <w:r>
        <w:t>around the clock.</w:t>
      </w:r>
    </w:p>
    <w:p>
      <w:pPr>
        <w:pStyle w:val="13"/>
      </w:pPr>
    </w:p>
    <w:p>
      <w:pPr>
        <w:pStyle w:val="24"/>
      </w:pPr>
      <w:r>
        <w:t>Specifications</w:t>
      </w:r>
    </w:p>
    <w:p>
      <w:pPr>
        <w:pStyle w:val="24"/>
        <w:numPr>
          <w:ilvl w:val="0"/>
          <w:numId w:val="0"/>
        </w:numPr>
      </w:pPr>
      <w:r>
        <w:drawing>
          <wp:inline distT="0" distB="0" distL="114300" distR="114300">
            <wp:extent cx="5485130" cy="2186940"/>
            <wp:effectExtent l="0" t="0" r="127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3"/>
                    <a:stretch>
                      <a:fillRect/>
                    </a:stretch>
                  </pic:blipFill>
                  <pic:spPr>
                    <a:xfrm>
                      <a:off x="0" y="0"/>
                      <a:ext cx="5485130" cy="2186940"/>
                    </a:xfrm>
                    <a:prstGeom prst="rect">
                      <a:avLst/>
                    </a:prstGeom>
                    <a:noFill/>
                    <a:ln w="9525">
                      <a:noFill/>
                    </a:ln>
                  </pic:spPr>
                </pic:pic>
              </a:graphicData>
            </a:graphic>
          </wp:inline>
        </w:drawing>
      </w:r>
    </w:p>
    <w:tbl>
      <w:tblPr>
        <w:tblStyle w:val="8"/>
        <w:tblW w:w="8719" w:type="dxa"/>
        <w:jc w:val="center"/>
        <w:tblInd w:w="144" w:type="dxa"/>
        <w:tblLayout w:type="fixed"/>
        <w:tblCellMar>
          <w:top w:w="0" w:type="dxa"/>
          <w:left w:w="0" w:type="dxa"/>
          <w:bottom w:w="0" w:type="dxa"/>
          <w:right w:w="0" w:type="dxa"/>
        </w:tblCellMar>
      </w:tblPr>
      <w:tblGrid>
        <w:gridCol w:w="3332"/>
        <w:gridCol w:w="5387"/>
      </w:tblGrid>
      <w:tr>
        <w:tblPrEx>
          <w:tblLayout w:type="fixed"/>
          <w:tblCellMar>
            <w:top w:w="0" w:type="dxa"/>
            <w:left w:w="0" w:type="dxa"/>
            <w:bottom w:w="0" w:type="dxa"/>
            <w:right w:w="0" w:type="dxa"/>
          </w:tblCellMar>
        </w:tblPrEx>
        <w:trPr>
          <w:trHeight w:val="227" w:hRule="atLeast"/>
          <w:jc w:val="center"/>
        </w:trPr>
        <w:tc>
          <w:tcPr>
            <w:tcW w:w="3332" w:type="dxa"/>
            <w:tcBorders>
              <w:top w:val="single" w:color="auto" w:sz="4" w:space="0"/>
              <w:left w:val="single" w:color="auto" w:sz="4" w:space="0"/>
              <w:bottom w:val="single" w:color="auto" w:sz="4" w:space="0"/>
              <w:right w:val="single" w:color="auto" w:sz="4" w:space="0"/>
            </w:tcBorders>
            <w:shd w:val="clear" w:color="auto" w:fill="auto"/>
            <w:tcMar>
              <w:top w:w="57" w:type="dxa"/>
              <w:left w:w="144" w:type="dxa"/>
              <w:bottom w:w="57" w:type="dxa"/>
              <w:right w:w="144" w:type="dxa"/>
            </w:tcMar>
            <w:vAlign w:val="center"/>
          </w:tcPr>
          <w:p>
            <w:pPr>
              <w:spacing w:before="58" w:after="0" w:line="240" w:lineRule="auto"/>
              <w:textAlignment w:val="baseline"/>
              <w:rPr>
                <w:rFonts w:eastAsia="华文细黑" w:cs="Calibri"/>
                <w:color w:val="000000"/>
                <w:kern w:val="24"/>
                <w:sz w:val="18"/>
                <w:szCs w:val="18"/>
              </w:rPr>
            </w:pPr>
            <w:r>
              <w:rPr>
                <w:rFonts w:eastAsia="华文细黑" w:cs="Calibri"/>
                <w:color w:val="000000"/>
                <w:kern w:val="24"/>
                <w:sz w:val="18"/>
                <w:szCs w:val="18"/>
              </w:rPr>
              <w:t>FW Throughput (Maximum)</w:t>
            </w:r>
          </w:p>
        </w:tc>
        <w:tc>
          <w:tcPr>
            <w:tcW w:w="538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58" w:after="0" w:line="240" w:lineRule="auto"/>
              <w:textAlignment w:val="baseline"/>
              <w:rPr>
                <w:rFonts w:eastAsia="华文细黑" w:cs="Calibri"/>
                <w:color w:val="000000"/>
                <w:kern w:val="24"/>
                <w:sz w:val="18"/>
                <w:szCs w:val="18"/>
              </w:rPr>
            </w:pPr>
            <w:r>
              <w:rPr>
                <w:rFonts w:hint="eastAsia" w:eastAsia="华文细黑" w:cs="Calibri"/>
                <w:color w:val="000000"/>
                <w:kern w:val="24"/>
                <w:sz w:val="18"/>
                <w:szCs w:val="18"/>
                <w:lang w:val="en-US" w:eastAsia="zh-CN"/>
              </w:rPr>
              <w:t>8</w:t>
            </w:r>
            <w:r>
              <w:rPr>
                <w:rFonts w:hint="eastAsia" w:eastAsia="华文细黑" w:cs="Calibri"/>
                <w:color w:val="000000"/>
                <w:kern w:val="24"/>
                <w:sz w:val="18"/>
                <w:szCs w:val="18"/>
              </w:rPr>
              <w:t>0</w:t>
            </w:r>
            <w:r>
              <w:rPr>
                <w:rFonts w:eastAsia="华文细黑" w:cs="Calibri"/>
                <w:color w:val="000000"/>
                <w:kern w:val="24"/>
                <w:sz w:val="18"/>
                <w:szCs w:val="18"/>
              </w:rPr>
              <w:t>Gbps</w:t>
            </w:r>
          </w:p>
        </w:tc>
      </w:tr>
      <w:tr>
        <w:tblPrEx>
          <w:tblLayout w:type="fixed"/>
          <w:tblCellMar>
            <w:top w:w="0" w:type="dxa"/>
            <w:left w:w="0" w:type="dxa"/>
            <w:bottom w:w="0" w:type="dxa"/>
            <w:right w:w="0" w:type="dxa"/>
          </w:tblCellMar>
        </w:tblPrEx>
        <w:trPr>
          <w:trHeight w:val="227" w:hRule="atLeast"/>
          <w:jc w:val="center"/>
        </w:trPr>
        <w:tc>
          <w:tcPr>
            <w:tcW w:w="3332" w:type="dxa"/>
            <w:tcBorders>
              <w:top w:val="single" w:color="auto" w:sz="4" w:space="0"/>
              <w:left w:val="single" w:color="auto" w:sz="4" w:space="0"/>
              <w:bottom w:val="single" w:color="auto" w:sz="4" w:space="0"/>
              <w:right w:val="single" w:color="auto" w:sz="4" w:space="0"/>
            </w:tcBorders>
            <w:shd w:val="clear" w:color="auto" w:fill="auto"/>
            <w:tcMar>
              <w:top w:w="57" w:type="dxa"/>
              <w:left w:w="144" w:type="dxa"/>
              <w:bottom w:w="57" w:type="dxa"/>
              <w:right w:w="144" w:type="dxa"/>
            </w:tcMar>
            <w:vAlign w:val="center"/>
          </w:tcPr>
          <w:p>
            <w:pPr>
              <w:spacing w:before="58" w:after="0" w:line="240" w:lineRule="auto"/>
              <w:textAlignment w:val="baseline"/>
              <w:rPr>
                <w:rFonts w:eastAsia="华文细黑" w:cs="Calibri"/>
                <w:color w:val="000000"/>
                <w:kern w:val="24"/>
                <w:sz w:val="18"/>
                <w:szCs w:val="18"/>
              </w:rPr>
            </w:pPr>
            <w:r>
              <w:rPr>
                <w:rFonts w:eastAsia="华文细黑" w:cs="Calibri"/>
                <w:color w:val="000000"/>
                <w:kern w:val="24"/>
                <w:sz w:val="18"/>
                <w:szCs w:val="18"/>
              </w:rPr>
              <w:t>IPSec Throughput</w:t>
            </w:r>
          </w:p>
        </w:tc>
        <w:tc>
          <w:tcPr>
            <w:tcW w:w="538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58" w:after="0" w:line="240" w:lineRule="auto"/>
              <w:textAlignment w:val="baseline"/>
              <w:rPr>
                <w:rFonts w:eastAsia="华文细黑" w:cs="Calibri"/>
                <w:color w:val="000000"/>
                <w:kern w:val="24"/>
                <w:sz w:val="18"/>
                <w:szCs w:val="18"/>
              </w:rPr>
            </w:pPr>
            <w:r>
              <w:rPr>
                <w:rFonts w:hint="eastAsia" w:eastAsia="华文细黑" w:cs="Calibri"/>
                <w:color w:val="000000"/>
                <w:kern w:val="24"/>
                <w:sz w:val="18"/>
                <w:szCs w:val="18"/>
                <w:lang w:val="en-US" w:eastAsia="zh-CN"/>
              </w:rPr>
              <w:t>50</w:t>
            </w:r>
            <w:r>
              <w:rPr>
                <w:rFonts w:eastAsia="华文细黑" w:cs="Calibri"/>
                <w:color w:val="000000"/>
                <w:kern w:val="24"/>
                <w:sz w:val="18"/>
                <w:szCs w:val="18"/>
              </w:rPr>
              <w:t>Gbps</w:t>
            </w:r>
          </w:p>
        </w:tc>
      </w:tr>
      <w:tr>
        <w:tblPrEx>
          <w:tblLayout w:type="fixed"/>
          <w:tblCellMar>
            <w:top w:w="0" w:type="dxa"/>
            <w:left w:w="0" w:type="dxa"/>
            <w:bottom w:w="0" w:type="dxa"/>
            <w:right w:w="0" w:type="dxa"/>
          </w:tblCellMar>
        </w:tblPrEx>
        <w:trPr>
          <w:trHeight w:val="227" w:hRule="atLeast"/>
          <w:jc w:val="center"/>
        </w:trPr>
        <w:tc>
          <w:tcPr>
            <w:tcW w:w="3332" w:type="dxa"/>
            <w:tcBorders>
              <w:top w:val="single" w:color="auto" w:sz="4" w:space="0"/>
              <w:left w:val="single" w:color="auto" w:sz="4" w:space="0"/>
              <w:bottom w:val="single" w:color="auto" w:sz="4" w:space="0"/>
              <w:right w:val="single" w:color="auto" w:sz="4" w:space="0"/>
            </w:tcBorders>
            <w:shd w:val="clear" w:color="auto" w:fill="auto"/>
            <w:tcMar>
              <w:top w:w="57" w:type="dxa"/>
              <w:left w:w="144" w:type="dxa"/>
              <w:bottom w:w="57" w:type="dxa"/>
              <w:right w:w="144" w:type="dxa"/>
            </w:tcMar>
            <w:vAlign w:val="center"/>
          </w:tcPr>
          <w:p>
            <w:pPr>
              <w:spacing w:before="58" w:after="0" w:line="240" w:lineRule="auto"/>
              <w:textAlignment w:val="baseline"/>
              <w:rPr>
                <w:rFonts w:eastAsia="华文细黑" w:cs="Calibri"/>
                <w:color w:val="000000"/>
                <w:kern w:val="24"/>
                <w:sz w:val="18"/>
                <w:szCs w:val="18"/>
              </w:rPr>
            </w:pPr>
            <w:r>
              <w:rPr>
                <w:rFonts w:eastAsia="华文细黑" w:cs="Calibri"/>
                <w:color w:val="000000"/>
                <w:kern w:val="24"/>
                <w:sz w:val="18"/>
                <w:szCs w:val="18"/>
              </w:rPr>
              <w:t xml:space="preserve">AV Throughput </w:t>
            </w:r>
          </w:p>
        </w:tc>
        <w:tc>
          <w:tcPr>
            <w:tcW w:w="538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58" w:after="0" w:line="240" w:lineRule="auto"/>
              <w:textAlignment w:val="baseline"/>
              <w:rPr>
                <w:rFonts w:eastAsia="华文细黑" w:cs="Calibri"/>
                <w:color w:val="000000"/>
                <w:kern w:val="24"/>
                <w:sz w:val="18"/>
                <w:szCs w:val="18"/>
              </w:rPr>
            </w:pPr>
            <w:r>
              <w:rPr>
                <w:rFonts w:hint="eastAsia" w:eastAsia="华文细黑" w:cs="Calibri"/>
                <w:color w:val="000000"/>
                <w:kern w:val="24"/>
                <w:sz w:val="18"/>
                <w:szCs w:val="18"/>
                <w:lang w:val="en-US" w:eastAsia="zh-CN"/>
              </w:rPr>
              <w:t>27</w:t>
            </w:r>
            <w:r>
              <w:rPr>
                <w:rFonts w:eastAsia="华文细黑" w:cs="Calibri"/>
                <w:color w:val="000000"/>
                <w:kern w:val="24"/>
                <w:sz w:val="18"/>
                <w:szCs w:val="18"/>
              </w:rPr>
              <w:t>Gbps</w:t>
            </w:r>
          </w:p>
        </w:tc>
      </w:tr>
      <w:tr>
        <w:tblPrEx>
          <w:tblLayout w:type="fixed"/>
          <w:tblCellMar>
            <w:top w:w="0" w:type="dxa"/>
            <w:left w:w="0" w:type="dxa"/>
            <w:bottom w:w="0" w:type="dxa"/>
            <w:right w:w="0" w:type="dxa"/>
          </w:tblCellMar>
        </w:tblPrEx>
        <w:trPr>
          <w:trHeight w:val="227" w:hRule="atLeast"/>
          <w:jc w:val="center"/>
        </w:trPr>
        <w:tc>
          <w:tcPr>
            <w:tcW w:w="3332" w:type="dxa"/>
            <w:tcBorders>
              <w:top w:val="single" w:color="auto" w:sz="4" w:space="0"/>
              <w:left w:val="single" w:color="auto" w:sz="4" w:space="0"/>
              <w:bottom w:val="single" w:color="auto" w:sz="4" w:space="0"/>
              <w:right w:val="single" w:color="auto" w:sz="4" w:space="0"/>
            </w:tcBorders>
            <w:shd w:val="clear" w:color="auto" w:fill="auto"/>
            <w:tcMar>
              <w:top w:w="57" w:type="dxa"/>
              <w:left w:w="144" w:type="dxa"/>
              <w:bottom w:w="57" w:type="dxa"/>
              <w:right w:w="144" w:type="dxa"/>
            </w:tcMar>
            <w:vAlign w:val="center"/>
          </w:tcPr>
          <w:p>
            <w:pPr>
              <w:spacing w:before="58" w:after="0" w:line="240" w:lineRule="auto"/>
              <w:textAlignment w:val="baseline"/>
              <w:rPr>
                <w:rFonts w:eastAsia="华文细黑" w:cs="Calibri"/>
                <w:color w:val="000000"/>
                <w:kern w:val="24"/>
                <w:sz w:val="18"/>
                <w:szCs w:val="18"/>
              </w:rPr>
            </w:pPr>
            <w:r>
              <w:rPr>
                <w:rFonts w:eastAsia="华文细黑" w:cs="Calibri"/>
                <w:color w:val="000000"/>
                <w:kern w:val="24"/>
                <w:sz w:val="18"/>
                <w:szCs w:val="18"/>
              </w:rPr>
              <w:t xml:space="preserve">IPS Throughput </w:t>
            </w:r>
          </w:p>
        </w:tc>
        <w:tc>
          <w:tcPr>
            <w:tcW w:w="538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58" w:after="0" w:line="240" w:lineRule="auto"/>
              <w:textAlignment w:val="baseline"/>
              <w:rPr>
                <w:rFonts w:eastAsia="华文细黑" w:cs="Calibri"/>
                <w:color w:val="000000"/>
                <w:kern w:val="24"/>
                <w:sz w:val="18"/>
                <w:szCs w:val="18"/>
              </w:rPr>
            </w:pPr>
            <w:r>
              <w:rPr>
                <w:rFonts w:hint="eastAsia" w:eastAsia="华文细黑" w:cs="Calibri"/>
                <w:color w:val="000000"/>
                <w:kern w:val="24"/>
                <w:sz w:val="18"/>
                <w:szCs w:val="18"/>
                <w:lang w:val="en-US" w:eastAsia="zh-CN"/>
              </w:rPr>
              <w:t>35</w:t>
            </w:r>
            <w:r>
              <w:rPr>
                <w:rFonts w:eastAsia="华文细黑" w:cs="Calibri"/>
                <w:color w:val="000000"/>
                <w:kern w:val="24"/>
                <w:sz w:val="18"/>
                <w:szCs w:val="18"/>
              </w:rPr>
              <w:t>Gbps</w:t>
            </w:r>
          </w:p>
        </w:tc>
      </w:tr>
      <w:tr>
        <w:tblPrEx>
          <w:tblLayout w:type="fixed"/>
          <w:tblCellMar>
            <w:top w:w="0" w:type="dxa"/>
            <w:left w:w="0" w:type="dxa"/>
            <w:bottom w:w="0" w:type="dxa"/>
            <w:right w:w="0" w:type="dxa"/>
          </w:tblCellMar>
        </w:tblPrEx>
        <w:trPr>
          <w:trHeight w:val="227" w:hRule="atLeast"/>
          <w:jc w:val="center"/>
        </w:trPr>
        <w:tc>
          <w:tcPr>
            <w:tcW w:w="3332" w:type="dxa"/>
            <w:tcBorders>
              <w:top w:val="single" w:color="auto" w:sz="4" w:space="0"/>
              <w:left w:val="single" w:color="auto" w:sz="4" w:space="0"/>
              <w:bottom w:val="single" w:color="auto" w:sz="4" w:space="0"/>
              <w:right w:val="single" w:color="auto" w:sz="4" w:space="0"/>
            </w:tcBorders>
            <w:shd w:val="clear" w:color="auto" w:fill="auto"/>
            <w:tcMar>
              <w:top w:w="57" w:type="dxa"/>
              <w:left w:w="144" w:type="dxa"/>
              <w:bottom w:w="57" w:type="dxa"/>
              <w:right w:w="144" w:type="dxa"/>
            </w:tcMar>
            <w:vAlign w:val="center"/>
          </w:tcPr>
          <w:p>
            <w:pPr>
              <w:spacing w:before="58" w:after="0" w:line="240" w:lineRule="auto"/>
              <w:textAlignment w:val="baseline"/>
              <w:rPr>
                <w:rFonts w:eastAsia="华文细黑" w:cs="Calibri"/>
                <w:color w:val="000000"/>
                <w:kern w:val="24"/>
                <w:sz w:val="18"/>
                <w:szCs w:val="18"/>
              </w:rPr>
            </w:pPr>
            <w:r>
              <w:rPr>
                <w:rFonts w:hint="eastAsia" w:eastAsia="华文细黑" w:cs="Calibri"/>
                <w:color w:val="000000"/>
                <w:kern w:val="24"/>
                <w:sz w:val="18"/>
                <w:szCs w:val="18"/>
              </w:rPr>
              <w:t>Combined Throughput</w:t>
            </w:r>
          </w:p>
        </w:tc>
        <w:tc>
          <w:tcPr>
            <w:tcW w:w="538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58" w:after="0" w:line="240" w:lineRule="auto"/>
              <w:textAlignment w:val="baseline"/>
              <w:rPr>
                <w:rFonts w:eastAsia="华文细黑" w:cs="Calibri"/>
                <w:color w:val="000000"/>
                <w:kern w:val="24"/>
                <w:sz w:val="18"/>
                <w:szCs w:val="18"/>
              </w:rPr>
            </w:pPr>
            <w:r>
              <w:rPr>
                <w:rFonts w:hint="eastAsia" w:eastAsia="华文细黑" w:cs="Calibri"/>
                <w:color w:val="000000"/>
                <w:kern w:val="24"/>
                <w:sz w:val="18"/>
                <w:szCs w:val="18"/>
                <w:lang w:val="en-US" w:eastAsia="zh-CN"/>
              </w:rPr>
              <w:t>20</w:t>
            </w:r>
            <w:bookmarkStart w:id="0" w:name="_GoBack"/>
            <w:bookmarkEnd w:id="0"/>
            <w:r>
              <w:rPr>
                <w:rFonts w:eastAsia="华文细黑" w:cs="Calibri"/>
                <w:color w:val="000000"/>
                <w:kern w:val="24"/>
                <w:sz w:val="18"/>
                <w:szCs w:val="18"/>
              </w:rPr>
              <w:t>Gbps</w:t>
            </w:r>
          </w:p>
        </w:tc>
      </w:tr>
      <w:tr>
        <w:tblPrEx>
          <w:tblLayout w:type="fixed"/>
          <w:tblCellMar>
            <w:top w:w="0" w:type="dxa"/>
            <w:left w:w="0" w:type="dxa"/>
            <w:bottom w:w="0" w:type="dxa"/>
            <w:right w:w="0" w:type="dxa"/>
          </w:tblCellMar>
        </w:tblPrEx>
        <w:trPr>
          <w:trHeight w:val="227" w:hRule="atLeast"/>
          <w:jc w:val="center"/>
        </w:trPr>
        <w:tc>
          <w:tcPr>
            <w:tcW w:w="3332" w:type="dxa"/>
            <w:tcBorders>
              <w:top w:val="single" w:color="auto" w:sz="4" w:space="0"/>
              <w:left w:val="single" w:color="auto" w:sz="4" w:space="0"/>
              <w:bottom w:val="single" w:color="auto" w:sz="4" w:space="0"/>
              <w:right w:val="single" w:color="auto" w:sz="4" w:space="0"/>
            </w:tcBorders>
            <w:shd w:val="clear" w:color="auto" w:fill="auto"/>
            <w:tcMar>
              <w:top w:w="57" w:type="dxa"/>
              <w:left w:w="144" w:type="dxa"/>
              <w:bottom w:w="57" w:type="dxa"/>
              <w:right w:w="144" w:type="dxa"/>
            </w:tcMar>
            <w:vAlign w:val="center"/>
          </w:tcPr>
          <w:p>
            <w:pPr>
              <w:spacing w:before="58" w:after="0" w:line="240" w:lineRule="auto"/>
              <w:textAlignment w:val="baseline"/>
              <w:rPr>
                <w:rFonts w:eastAsia="华文细黑" w:cs="Calibri"/>
                <w:color w:val="000000"/>
                <w:kern w:val="24"/>
                <w:sz w:val="18"/>
                <w:szCs w:val="18"/>
              </w:rPr>
            </w:pPr>
            <w:r>
              <w:rPr>
                <w:rFonts w:eastAsia="华文细黑" w:cs="Calibri"/>
                <w:color w:val="000000"/>
                <w:kern w:val="24"/>
                <w:sz w:val="18"/>
                <w:szCs w:val="18"/>
              </w:rPr>
              <w:t>IPSec Tunnel Number</w:t>
            </w:r>
          </w:p>
        </w:tc>
        <w:tc>
          <w:tcPr>
            <w:tcW w:w="538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58" w:after="0" w:line="240" w:lineRule="auto"/>
              <w:textAlignment w:val="baseline"/>
              <w:rPr>
                <w:rFonts w:eastAsia="华文细黑" w:cs="Calibri"/>
                <w:color w:val="000000"/>
                <w:kern w:val="24"/>
                <w:sz w:val="18"/>
                <w:szCs w:val="18"/>
              </w:rPr>
            </w:pPr>
            <w:r>
              <w:rPr>
                <w:rFonts w:eastAsia="华文细黑" w:cs="Calibri"/>
                <w:color w:val="000000"/>
                <w:kern w:val="24"/>
                <w:sz w:val="18"/>
                <w:szCs w:val="18"/>
              </w:rPr>
              <w:t>20,000</w:t>
            </w:r>
          </w:p>
        </w:tc>
      </w:tr>
      <w:tr>
        <w:tblPrEx>
          <w:tblLayout w:type="fixed"/>
          <w:tblCellMar>
            <w:top w:w="0" w:type="dxa"/>
            <w:left w:w="0" w:type="dxa"/>
            <w:bottom w:w="0" w:type="dxa"/>
            <w:right w:w="0" w:type="dxa"/>
          </w:tblCellMar>
        </w:tblPrEx>
        <w:trPr>
          <w:trHeight w:val="227" w:hRule="atLeast"/>
          <w:jc w:val="center"/>
        </w:trPr>
        <w:tc>
          <w:tcPr>
            <w:tcW w:w="3332" w:type="dxa"/>
            <w:tcBorders>
              <w:top w:val="single" w:color="auto" w:sz="4" w:space="0"/>
              <w:left w:val="single" w:color="auto" w:sz="4" w:space="0"/>
              <w:bottom w:val="single" w:color="auto" w:sz="4" w:space="0"/>
              <w:right w:val="single" w:color="auto" w:sz="4" w:space="0"/>
            </w:tcBorders>
            <w:shd w:val="clear" w:color="auto" w:fill="auto"/>
            <w:tcMar>
              <w:top w:w="57" w:type="dxa"/>
              <w:left w:w="144" w:type="dxa"/>
              <w:bottom w:w="57" w:type="dxa"/>
              <w:right w:w="144" w:type="dxa"/>
            </w:tcMar>
            <w:vAlign w:val="center"/>
          </w:tcPr>
          <w:p>
            <w:pPr>
              <w:spacing w:before="58" w:after="0" w:line="240" w:lineRule="auto"/>
              <w:textAlignment w:val="baseline"/>
              <w:rPr>
                <w:rFonts w:eastAsia="华文细黑" w:cs="Calibri"/>
                <w:color w:val="000000"/>
                <w:kern w:val="24"/>
                <w:sz w:val="18"/>
                <w:szCs w:val="18"/>
              </w:rPr>
            </w:pPr>
            <w:r>
              <w:rPr>
                <w:rFonts w:eastAsia="华文细黑" w:cs="Calibri"/>
                <w:color w:val="000000"/>
                <w:kern w:val="24"/>
                <w:sz w:val="18"/>
                <w:szCs w:val="18"/>
              </w:rPr>
              <w:t>Maximum SSL VPN Users</w:t>
            </w:r>
          </w:p>
        </w:tc>
        <w:tc>
          <w:tcPr>
            <w:tcW w:w="538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58" w:after="0" w:line="240" w:lineRule="auto"/>
              <w:textAlignment w:val="baseline"/>
              <w:rPr>
                <w:rFonts w:eastAsia="华文细黑" w:cs="Calibri"/>
                <w:color w:val="000000"/>
                <w:kern w:val="24"/>
                <w:sz w:val="18"/>
                <w:szCs w:val="18"/>
              </w:rPr>
            </w:pPr>
            <w:r>
              <w:rPr>
                <w:rFonts w:eastAsia="华文细黑" w:cs="Calibri"/>
                <w:color w:val="000000"/>
                <w:kern w:val="24"/>
                <w:sz w:val="18"/>
                <w:szCs w:val="18"/>
              </w:rPr>
              <w:t>10,000</w:t>
            </w:r>
          </w:p>
        </w:tc>
      </w:tr>
      <w:tr>
        <w:tblPrEx>
          <w:tblLayout w:type="fixed"/>
          <w:tblCellMar>
            <w:top w:w="0" w:type="dxa"/>
            <w:left w:w="0" w:type="dxa"/>
            <w:bottom w:w="0" w:type="dxa"/>
            <w:right w:w="0" w:type="dxa"/>
          </w:tblCellMar>
        </w:tblPrEx>
        <w:trPr>
          <w:trHeight w:val="227" w:hRule="atLeast"/>
          <w:jc w:val="center"/>
        </w:trPr>
        <w:tc>
          <w:tcPr>
            <w:tcW w:w="3332" w:type="dxa"/>
            <w:tcBorders>
              <w:top w:val="single" w:color="auto" w:sz="4" w:space="0"/>
              <w:left w:val="single" w:color="auto" w:sz="4" w:space="0"/>
              <w:bottom w:val="single" w:color="auto" w:sz="4" w:space="0"/>
              <w:right w:val="single" w:color="auto" w:sz="4" w:space="0"/>
            </w:tcBorders>
            <w:shd w:val="clear" w:color="auto" w:fill="auto"/>
            <w:tcMar>
              <w:top w:w="57" w:type="dxa"/>
              <w:left w:w="144" w:type="dxa"/>
              <w:bottom w:w="57" w:type="dxa"/>
              <w:right w:w="144" w:type="dxa"/>
            </w:tcMar>
            <w:vAlign w:val="center"/>
          </w:tcPr>
          <w:p>
            <w:pPr>
              <w:spacing w:before="58" w:after="0" w:line="240" w:lineRule="auto"/>
              <w:textAlignment w:val="baseline"/>
              <w:rPr>
                <w:rFonts w:eastAsia="华文细黑" w:cs="Calibri"/>
                <w:color w:val="000000"/>
                <w:kern w:val="24"/>
                <w:sz w:val="18"/>
                <w:szCs w:val="18"/>
              </w:rPr>
            </w:pPr>
            <w:r>
              <w:rPr>
                <w:rFonts w:eastAsia="华文细黑" w:cs="Calibri"/>
                <w:color w:val="000000"/>
                <w:kern w:val="24"/>
                <w:sz w:val="18"/>
                <w:szCs w:val="18"/>
              </w:rPr>
              <w:t>Maximum Concurrent Sessions</w:t>
            </w:r>
          </w:p>
        </w:tc>
        <w:tc>
          <w:tcPr>
            <w:tcW w:w="538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58" w:after="0" w:line="240" w:lineRule="auto"/>
              <w:textAlignment w:val="baseline"/>
              <w:rPr>
                <w:rFonts w:eastAsia="华文细黑" w:cs="Calibri"/>
                <w:color w:val="000000"/>
                <w:kern w:val="24"/>
                <w:sz w:val="18"/>
                <w:szCs w:val="18"/>
              </w:rPr>
            </w:pPr>
            <w:r>
              <w:rPr>
                <w:rFonts w:hint="eastAsia" w:eastAsia="华文细黑" w:cs="Calibri"/>
                <w:color w:val="000000"/>
                <w:kern w:val="24"/>
                <w:sz w:val="18"/>
                <w:szCs w:val="18"/>
                <w:lang w:val="en-US" w:eastAsia="zh-CN"/>
              </w:rPr>
              <w:t>30</w:t>
            </w:r>
            <w:r>
              <w:rPr>
                <w:rFonts w:eastAsia="华文细黑" w:cs="Calibri"/>
                <w:color w:val="000000"/>
                <w:kern w:val="24"/>
                <w:sz w:val="18"/>
                <w:szCs w:val="18"/>
              </w:rPr>
              <w:t>M</w:t>
            </w:r>
          </w:p>
        </w:tc>
      </w:tr>
      <w:tr>
        <w:tblPrEx>
          <w:tblLayout w:type="fixed"/>
          <w:tblCellMar>
            <w:top w:w="0" w:type="dxa"/>
            <w:left w:w="0" w:type="dxa"/>
            <w:bottom w:w="0" w:type="dxa"/>
            <w:right w:w="0" w:type="dxa"/>
          </w:tblCellMar>
        </w:tblPrEx>
        <w:trPr>
          <w:trHeight w:val="227" w:hRule="atLeast"/>
          <w:jc w:val="center"/>
        </w:trPr>
        <w:tc>
          <w:tcPr>
            <w:tcW w:w="3332" w:type="dxa"/>
            <w:tcBorders>
              <w:top w:val="single" w:color="auto" w:sz="4" w:space="0"/>
              <w:left w:val="single" w:color="auto" w:sz="4" w:space="0"/>
              <w:bottom w:val="single" w:color="auto" w:sz="4" w:space="0"/>
              <w:right w:val="single" w:color="auto" w:sz="4" w:space="0"/>
            </w:tcBorders>
            <w:shd w:val="clear" w:color="auto" w:fill="auto"/>
            <w:tcMar>
              <w:top w:w="57" w:type="dxa"/>
              <w:left w:w="144" w:type="dxa"/>
              <w:bottom w:w="57" w:type="dxa"/>
              <w:right w:w="144" w:type="dxa"/>
            </w:tcMar>
            <w:vAlign w:val="center"/>
          </w:tcPr>
          <w:p>
            <w:pPr>
              <w:spacing w:before="58" w:after="0" w:line="240" w:lineRule="auto"/>
              <w:textAlignment w:val="baseline"/>
              <w:rPr>
                <w:rFonts w:eastAsia="华文细黑" w:cs="Calibri"/>
                <w:color w:val="000000"/>
                <w:kern w:val="24"/>
                <w:sz w:val="18"/>
                <w:szCs w:val="18"/>
              </w:rPr>
            </w:pPr>
            <w:r>
              <w:rPr>
                <w:rFonts w:eastAsia="华文细黑" w:cs="Calibri"/>
                <w:color w:val="000000"/>
                <w:kern w:val="24"/>
                <w:sz w:val="18"/>
                <w:szCs w:val="18"/>
              </w:rPr>
              <w:t>New Sessions/s</w:t>
            </w:r>
          </w:p>
        </w:tc>
        <w:tc>
          <w:tcPr>
            <w:tcW w:w="538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58" w:after="0" w:line="240" w:lineRule="auto"/>
              <w:textAlignment w:val="baseline"/>
              <w:rPr>
                <w:rFonts w:eastAsia="华文细黑" w:cs="Calibri"/>
                <w:color w:val="000000"/>
                <w:kern w:val="24"/>
                <w:sz w:val="18"/>
                <w:szCs w:val="18"/>
              </w:rPr>
            </w:pPr>
            <w:r>
              <w:rPr>
                <w:rFonts w:hint="eastAsia" w:eastAsia="华文细黑" w:cs="Calibri"/>
                <w:color w:val="000000"/>
                <w:kern w:val="24"/>
                <w:sz w:val="18"/>
                <w:szCs w:val="18"/>
                <w:lang w:val="en-US" w:eastAsia="zh-CN"/>
              </w:rPr>
              <w:t>1.1M</w:t>
            </w:r>
          </w:p>
        </w:tc>
      </w:tr>
      <w:tr>
        <w:tblPrEx>
          <w:tblLayout w:type="fixed"/>
          <w:tblCellMar>
            <w:top w:w="0" w:type="dxa"/>
            <w:left w:w="0" w:type="dxa"/>
            <w:bottom w:w="0" w:type="dxa"/>
            <w:right w:w="0" w:type="dxa"/>
          </w:tblCellMar>
        </w:tblPrEx>
        <w:trPr>
          <w:trHeight w:val="227" w:hRule="atLeast"/>
          <w:jc w:val="center"/>
        </w:trPr>
        <w:tc>
          <w:tcPr>
            <w:tcW w:w="3332" w:type="dxa"/>
            <w:tcBorders>
              <w:top w:val="single" w:color="auto" w:sz="4" w:space="0"/>
              <w:left w:val="single" w:color="auto" w:sz="4" w:space="0"/>
              <w:bottom w:val="single" w:color="auto" w:sz="4" w:space="0"/>
              <w:right w:val="single" w:color="auto" w:sz="4" w:space="0"/>
            </w:tcBorders>
            <w:shd w:val="clear" w:color="auto" w:fill="auto"/>
            <w:tcMar>
              <w:top w:w="57" w:type="dxa"/>
              <w:left w:w="144" w:type="dxa"/>
              <w:bottom w:w="57" w:type="dxa"/>
              <w:right w:w="144" w:type="dxa"/>
            </w:tcMar>
            <w:vAlign w:val="center"/>
          </w:tcPr>
          <w:p>
            <w:pPr>
              <w:spacing w:before="58" w:after="0" w:line="240" w:lineRule="auto"/>
              <w:textAlignment w:val="baseline"/>
              <w:rPr>
                <w:rFonts w:eastAsia="华文细黑" w:cs="Calibri"/>
                <w:color w:val="000000"/>
                <w:kern w:val="24"/>
                <w:sz w:val="18"/>
                <w:szCs w:val="18"/>
              </w:rPr>
            </w:pPr>
            <w:r>
              <w:rPr>
                <w:rFonts w:hint="eastAsia" w:eastAsia="华文细黑" w:cs="Calibri"/>
                <w:color w:val="000000"/>
                <w:kern w:val="24"/>
                <w:sz w:val="18"/>
                <w:szCs w:val="18"/>
              </w:rPr>
              <w:t>Virtual Domains (Default / Maximum)</w:t>
            </w:r>
          </w:p>
        </w:tc>
        <w:tc>
          <w:tcPr>
            <w:tcW w:w="538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58" w:after="0" w:line="240" w:lineRule="auto"/>
              <w:textAlignment w:val="baseline"/>
              <w:rPr>
                <w:rFonts w:hint="default" w:eastAsia="华文细黑" w:cs="Calibri"/>
                <w:color w:val="000000"/>
                <w:kern w:val="24"/>
                <w:sz w:val="18"/>
                <w:szCs w:val="18"/>
                <w:lang w:val="en-US" w:eastAsia="zh-CN"/>
              </w:rPr>
            </w:pPr>
            <w:r>
              <w:rPr>
                <w:rFonts w:hint="eastAsia" w:eastAsia="华文细黑" w:cs="Calibri"/>
                <w:color w:val="000000"/>
                <w:kern w:val="24"/>
                <w:sz w:val="18"/>
                <w:szCs w:val="18"/>
                <w:lang w:val="en-US" w:eastAsia="zh-CN"/>
              </w:rPr>
              <w:t>10/250</w:t>
            </w:r>
          </w:p>
        </w:tc>
      </w:tr>
      <w:tr>
        <w:tblPrEx>
          <w:tblLayout w:type="fixed"/>
          <w:tblCellMar>
            <w:top w:w="0" w:type="dxa"/>
            <w:left w:w="0" w:type="dxa"/>
            <w:bottom w:w="0" w:type="dxa"/>
            <w:right w:w="0" w:type="dxa"/>
          </w:tblCellMar>
        </w:tblPrEx>
        <w:trPr>
          <w:trHeight w:val="227" w:hRule="atLeast"/>
          <w:jc w:val="center"/>
        </w:trPr>
        <w:tc>
          <w:tcPr>
            <w:tcW w:w="3332" w:type="dxa"/>
            <w:tcBorders>
              <w:top w:val="single" w:color="auto" w:sz="4" w:space="0"/>
              <w:left w:val="single" w:color="auto" w:sz="4" w:space="0"/>
              <w:bottom w:val="single" w:color="auto" w:sz="4" w:space="0"/>
              <w:right w:val="single" w:color="auto" w:sz="4" w:space="0"/>
            </w:tcBorders>
            <w:shd w:val="clear" w:color="auto" w:fill="auto"/>
            <w:tcMar>
              <w:top w:w="57" w:type="dxa"/>
              <w:left w:w="144" w:type="dxa"/>
              <w:bottom w:w="57" w:type="dxa"/>
              <w:right w:w="144" w:type="dxa"/>
            </w:tcMar>
            <w:vAlign w:val="center"/>
          </w:tcPr>
          <w:p>
            <w:pPr>
              <w:spacing w:before="58" w:after="0" w:line="240" w:lineRule="auto"/>
              <w:textAlignment w:val="baseline"/>
              <w:rPr>
                <w:rFonts w:eastAsia="华文细黑" w:cs="Calibri"/>
                <w:color w:val="000000"/>
                <w:kern w:val="24"/>
                <w:sz w:val="18"/>
                <w:szCs w:val="18"/>
              </w:rPr>
            </w:pPr>
            <w:r>
              <w:rPr>
                <w:rFonts w:eastAsia="华文细黑" w:cs="Calibri"/>
                <w:color w:val="000000"/>
                <w:kern w:val="24"/>
                <w:sz w:val="18"/>
                <w:szCs w:val="18"/>
              </w:rPr>
              <w:t>Management Ports</w:t>
            </w:r>
          </w:p>
        </w:tc>
        <w:tc>
          <w:tcPr>
            <w:tcW w:w="538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58" w:after="0" w:line="240" w:lineRule="auto"/>
              <w:textAlignment w:val="baseline"/>
              <w:rPr>
                <w:rFonts w:eastAsia="华文细黑" w:cs="Calibri"/>
                <w:color w:val="000000"/>
                <w:kern w:val="24"/>
                <w:sz w:val="18"/>
                <w:szCs w:val="18"/>
              </w:rPr>
            </w:pPr>
            <w:r>
              <w:rPr>
                <w:rFonts w:eastAsia="华文细黑" w:cs="Calibri"/>
                <w:color w:val="000000"/>
                <w:kern w:val="24"/>
                <w:sz w:val="18"/>
                <w:szCs w:val="18"/>
              </w:rPr>
              <w:t>1 x Console Port, 1 x AUX Port, 1 MGT</w:t>
            </w:r>
            <w:r>
              <w:rPr>
                <w:rFonts w:hint="eastAsia" w:eastAsia="华文细黑" w:cs="Calibri"/>
                <w:color w:val="000000"/>
                <w:kern w:val="24"/>
                <w:sz w:val="18"/>
                <w:szCs w:val="18"/>
              </w:rPr>
              <w:t xml:space="preserve">, </w:t>
            </w:r>
            <w:r>
              <w:rPr>
                <w:rFonts w:eastAsia="华文细黑" w:cs="Calibri"/>
                <w:color w:val="000000"/>
                <w:kern w:val="24"/>
                <w:sz w:val="18"/>
                <w:szCs w:val="18"/>
              </w:rPr>
              <w:t>1 x USB</w:t>
            </w:r>
            <w:r>
              <w:rPr>
                <w:rFonts w:hint="eastAsia" w:eastAsia="华文细黑" w:cs="Calibri"/>
                <w:color w:val="000000"/>
                <w:kern w:val="24"/>
                <w:sz w:val="18"/>
                <w:szCs w:val="18"/>
              </w:rPr>
              <w:t xml:space="preserve"> 2.0 </w:t>
            </w:r>
            <w:r>
              <w:rPr>
                <w:rFonts w:eastAsia="华文细黑" w:cs="Calibri"/>
                <w:color w:val="000000"/>
                <w:kern w:val="24"/>
                <w:sz w:val="18"/>
                <w:szCs w:val="18"/>
              </w:rPr>
              <w:t xml:space="preserve"> Port,</w:t>
            </w:r>
            <w:r>
              <w:rPr>
                <w:rFonts w:hint="eastAsia" w:eastAsia="华文细黑" w:cs="Calibri"/>
                <w:color w:val="000000"/>
                <w:kern w:val="24"/>
                <w:sz w:val="18"/>
                <w:szCs w:val="18"/>
              </w:rPr>
              <w:t xml:space="preserve"> </w:t>
            </w:r>
            <w:r>
              <w:rPr>
                <w:rFonts w:eastAsia="华文细黑" w:cs="Calibri"/>
                <w:color w:val="000000"/>
                <w:kern w:val="24"/>
                <w:sz w:val="18"/>
                <w:szCs w:val="18"/>
              </w:rPr>
              <w:t>1 x</w:t>
            </w:r>
            <w:r>
              <w:rPr>
                <w:rFonts w:hint="eastAsia" w:eastAsia="华文细黑" w:cs="Calibri"/>
                <w:color w:val="000000"/>
                <w:kern w:val="24"/>
                <w:sz w:val="18"/>
                <w:szCs w:val="18"/>
              </w:rPr>
              <w:t xml:space="preserve"> HA Port</w:t>
            </w:r>
          </w:p>
        </w:tc>
      </w:tr>
      <w:tr>
        <w:tblPrEx>
          <w:tblLayout w:type="fixed"/>
          <w:tblCellMar>
            <w:top w:w="0" w:type="dxa"/>
            <w:left w:w="0" w:type="dxa"/>
            <w:bottom w:w="0" w:type="dxa"/>
            <w:right w:w="0" w:type="dxa"/>
          </w:tblCellMar>
        </w:tblPrEx>
        <w:trPr>
          <w:trHeight w:val="227" w:hRule="atLeast"/>
          <w:jc w:val="center"/>
        </w:trPr>
        <w:tc>
          <w:tcPr>
            <w:tcW w:w="3332" w:type="dxa"/>
            <w:tcBorders>
              <w:top w:val="single" w:color="auto" w:sz="4" w:space="0"/>
              <w:left w:val="single" w:color="auto" w:sz="4" w:space="0"/>
              <w:bottom w:val="single" w:color="auto" w:sz="4" w:space="0"/>
              <w:right w:val="single" w:color="auto" w:sz="4" w:space="0"/>
            </w:tcBorders>
            <w:shd w:val="clear" w:color="auto" w:fill="auto"/>
            <w:tcMar>
              <w:top w:w="57" w:type="dxa"/>
              <w:left w:w="144" w:type="dxa"/>
              <w:bottom w:w="57" w:type="dxa"/>
              <w:right w:w="144" w:type="dxa"/>
            </w:tcMar>
            <w:vAlign w:val="center"/>
          </w:tcPr>
          <w:p>
            <w:pPr>
              <w:spacing w:before="58" w:after="0" w:line="240" w:lineRule="auto"/>
              <w:textAlignment w:val="baseline"/>
              <w:rPr>
                <w:rFonts w:eastAsia="华文细黑" w:cs="Calibri"/>
                <w:color w:val="000000"/>
                <w:kern w:val="24"/>
                <w:sz w:val="18"/>
                <w:szCs w:val="18"/>
              </w:rPr>
            </w:pPr>
            <w:r>
              <w:rPr>
                <w:rFonts w:eastAsia="华文细黑" w:cs="Calibri"/>
                <w:color w:val="000000"/>
                <w:kern w:val="24"/>
                <w:sz w:val="18"/>
                <w:szCs w:val="18"/>
              </w:rPr>
              <w:t>Fixed I/O Ports</w:t>
            </w:r>
          </w:p>
        </w:tc>
        <w:tc>
          <w:tcPr>
            <w:tcW w:w="538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58" w:after="0" w:line="240" w:lineRule="auto"/>
              <w:textAlignment w:val="baseline"/>
              <w:rPr>
                <w:rFonts w:eastAsia="华文细黑" w:cs="Calibri"/>
                <w:color w:val="000000"/>
                <w:kern w:val="24"/>
                <w:sz w:val="18"/>
                <w:szCs w:val="18"/>
              </w:rPr>
            </w:pPr>
            <w:r>
              <w:rPr>
                <w:rFonts w:hint="eastAsia" w:eastAsia="华文细黑" w:cs="Calibri"/>
                <w:color w:val="000000"/>
                <w:kern w:val="24"/>
                <w:sz w:val="18"/>
                <w:szCs w:val="18"/>
                <w:lang w:val="en-US" w:eastAsia="zh-CN"/>
              </w:rPr>
              <w:t>2</w:t>
            </w:r>
            <w:r>
              <w:rPr>
                <w:rFonts w:eastAsia="华文细黑" w:cs="Calibri"/>
                <w:color w:val="000000"/>
                <w:kern w:val="24"/>
                <w:sz w:val="18"/>
                <w:szCs w:val="18"/>
              </w:rPr>
              <w:t xml:space="preserve">x GE, </w:t>
            </w:r>
            <w:r>
              <w:rPr>
                <w:rFonts w:hint="eastAsia" w:eastAsia="华文细黑" w:cs="Calibri"/>
                <w:color w:val="000000"/>
                <w:kern w:val="24"/>
                <w:sz w:val="18"/>
                <w:szCs w:val="18"/>
                <w:lang w:val="en-US" w:eastAsia="zh-CN"/>
              </w:rPr>
              <w:t>8</w:t>
            </w:r>
            <w:r>
              <w:rPr>
                <w:rFonts w:eastAsia="华文细黑" w:cs="Calibri"/>
                <w:color w:val="000000"/>
                <w:kern w:val="24"/>
                <w:sz w:val="18"/>
                <w:szCs w:val="18"/>
              </w:rPr>
              <w:t xml:space="preserve"> x SFP</w:t>
            </w:r>
            <w:r>
              <w:rPr>
                <w:rFonts w:hint="eastAsia" w:eastAsia="华文细黑" w:cs="Calibri"/>
                <w:color w:val="000000"/>
                <w:kern w:val="24"/>
                <w:sz w:val="18"/>
                <w:szCs w:val="18"/>
                <w:lang w:val="en-US" w:eastAsia="zh-CN"/>
              </w:rPr>
              <w:t>+</w:t>
            </w:r>
            <w:r>
              <w:rPr>
                <w:rFonts w:eastAsia="华文细黑" w:cs="Calibri"/>
                <w:color w:val="000000"/>
                <w:kern w:val="24"/>
                <w:sz w:val="18"/>
                <w:szCs w:val="18"/>
              </w:rPr>
              <w:t>,</w:t>
            </w:r>
            <w:r>
              <w:rPr>
                <w:rFonts w:hint="eastAsia" w:eastAsia="华文细黑" w:cs="Calibri"/>
                <w:color w:val="000000"/>
                <w:kern w:val="24"/>
                <w:sz w:val="18"/>
                <w:szCs w:val="18"/>
                <w:lang w:val="en-US" w:eastAsia="zh-CN"/>
              </w:rPr>
              <w:t xml:space="preserve"> 2</w:t>
            </w:r>
            <w:r>
              <w:rPr>
                <w:rFonts w:eastAsia="华文细黑" w:cs="Calibri"/>
                <w:color w:val="000000"/>
                <w:kern w:val="24"/>
                <w:sz w:val="18"/>
                <w:szCs w:val="18"/>
              </w:rPr>
              <w:t xml:space="preserve"> x </w:t>
            </w:r>
            <w:r>
              <w:rPr>
                <w:rFonts w:hint="eastAsia" w:eastAsia="华文细黑" w:cs="Calibri"/>
                <w:color w:val="000000"/>
                <w:kern w:val="24"/>
                <w:sz w:val="18"/>
                <w:szCs w:val="18"/>
                <w:lang w:val="en-US" w:eastAsia="zh-CN"/>
              </w:rPr>
              <w:t>QSFP+</w:t>
            </w:r>
            <w:r>
              <w:rPr>
                <w:rFonts w:eastAsia="华文细黑" w:cs="Calibri"/>
                <w:color w:val="000000"/>
                <w:kern w:val="24"/>
                <w:sz w:val="18"/>
                <w:szCs w:val="18"/>
              </w:rPr>
              <w:t xml:space="preserve"> </w:t>
            </w:r>
          </w:p>
        </w:tc>
      </w:tr>
      <w:tr>
        <w:tblPrEx>
          <w:tblLayout w:type="fixed"/>
          <w:tblCellMar>
            <w:top w:w="0" w:type="dxa"/>
            <w:left w:w="0" w:type="dxa"/>
            <w:bottom w:w="0" w:type="dxa"/>
            <w:right w:w="0" w:type="dxa"/>
          </w:tblCellMar>
        </w:tblPrEx>
        <w:trPr>
          <w:trHeight w:val="227" w:hRule="atLeast"/>
          <w:jc w:val="center"/>
        </w:trPr>
        <w:tc>
          <w:tcPr>
            <w:tcW w:w="3332" w:type="dxa"/>
            <w:tcBorders>
              <w:top w:val="single" w:color="auto" w:sz="4" w:space="0"/>
              <w:left w:val="single" w:color="auto" w:sz="4" w:space="0"/>
              <w:bottom w:val="single" w:color="auto" w:sz="4" w:space="0"/>
              <w:right w:val="single" w:color="auto" w:sz="4" w:space="0"/>
            </w:tcBorders>
            <w:shd w:val="clear" w:color="auto" w:fill="auto"/>
            <w:tcMar>
              <w:top w:w="57" w:type="dxa"/>
              <w:left w:w="144" w:type="dxa"/>
              <w:bottom w:w="57" w:type="dxa"/>
              <w:right w:w="144" w:type="dxa"/>
            </w:tcMar>
            <w:vAlign w:val="center"/>
          </w:tcPr>
          <w:p>
            <w:pPr>
              <w:spacing w:before="58" w:after="0" w:line="240" w:lineRule="auto"/>
              <w:textAlignment w:val="baseline"/>
              <w:rPr>
                <w:rFonts w:eastAsia="华文细黑" w:cs="Calibri"/>
                <w:color w:val="000000"/>
                <w:kern w:val="24"/>
                <w:sz w:val="18"/>
                <w:szCs w:val="18"/>
              </w:rPr>
            </w:pPr>
            <w:r>
              <w:rPr>
                <w:rFonts w:eastAsia="华文细黑" w:cs="Calibri"/>
                <w:color w:val="000000"/>
                <w:kern w:val="24"/>
                <w:sz w:val="18"/>
                <w:szCs w:val="18"/>
              </w:rPr>
              <w:t>Available Slots for Extension Modules</w:t>
            </w:r>
          </w:p>
        </w:tc>
        <w:tc>
          <w:tcPr>
            <w:tcW w:w="538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58" w:after="0" w:line="240" w:lineRule="auto"/>
              <w:textAlignment w:val="baseline"/>
              <w:rPr>
                <w:rFonts w:eastAsia="华文细黑" w:cs="Calibri"/>
                <w:color w:val="000000"/>
                <w:kern w:val="24"/>
                <w:sz w:val="18"/>
                <w:szCs w:val="18"/>
              </w:rPr>
            </w:pPr>
            <w:r>
              <w:rPr>
                <w:rFonts w:hint="eastAsia" w:eastAsia="华文细黑" w:cs="Calibri"/>
                <w:color w:val="000000"/>
                <w:kern w:val="24"/>
                <w:sz w:val="18"/>
                <w:szCs w:val="18"/>
                <w:lang w:val="en-US" w:eastAsia="zh-CN"/>
              </w:rPr>
              <w:t>2</w:t>
            </w:r>
            <w:r>
              <w:rPr>
                <w:rFonts w:eastAsia="华文细黑" w:cs="Calibri"/>
                <w:color w:val="000000"/>
                <w:kern w:val="24"/>
                <w:sz w:val="18"/>
                <w:szCs w:val="18"/>
              </w:rPr>
              <w:t xml:space="preserve"> x Generic Slot</w:t>
            </w:r>
            <w:r>
              <w:rPr>
                <w:rFonts w:hint="eastAsia" w:eastAsia="华文细黑" w:cs="Calibri"/>
                <w:color w:val="000000"/>
                <w:kern w:val="24"/>
                <w:sz w:val="18"/>
                <w:szCs w:val="18"/>
                <w:lang w:eastAsia="zh-CN"/>
              </w:rPr>
              <w:t>，</w:t>
            </w:r>
            <w:r>
              <w:rPr>
                <w:rFonts w:hint="eastAsia" w:eastAsia="华文细黑" w:cs="Calibri"/>
                <w:color w:val="000000"/>
                <w:kern w:val="24"/>
                <w:sz w:val="18"/>
                <w:szCs w:val="18"/>
                <w:lang w:val="en-US" w:eastAsia="zh-CN"/>
              </w:rPr>
              <w:t xml:space="preserve">1 </w:t>
            </w:r>
            <w:r>
              <w:rPr>
                <w:rFonts w:eastAsia="华文细黑" w:cs="Calibri"/>
                <w:color w:val="000000"/>
                <w:kern w:val="24"/>
                <w:sz w:val="18"/>
                <w:szCs w:val="18"/>
              </w:rPr>
              <w:t>x</w:t>
            </w:r>
            <w:r>
              <w:rPr>
                <w:rFonts w:hint="eastAsia" w:eastAsia="华文细黑" w:cs="Calibri"/>
                <w:color w:val="000000"/>
                <w:kern w:val="24"/>
                <w:sz w:val="18"/>
                <w:szCs w:val="18"/>
                <w:lang w:val="en-US" w:eastAsia="zh-CN"/>
              </w:rPr>
              <w:t xml:space="preserve"> Bypass Slot </w:t>
            </w:r>
          </w:p>
        </w:tc>
      </w:tr>
      <w:tr>
        <w:tblPrEx>
          <w:tblLayout w:type="fixed"/>
          <w:tblCellMar>
            <w:top w:w="0" w:type="dxa"/>
            <w:left w:w="0" w:type="dxa"/>
            <w:bottom w:w="0" w:type="dxa"/>
            <w:right w:w="0" w:type="dxa"/>
          </w:tblCellMar>
        </w:tblPrEx>
        <w:trPr>
          <w:trHeight w:val="227" w:hRule="atLeast"/>
          <w:jc w:val="center"/>
        </w:trPr>
        <w:tc>
          <w:tcPr>
            <w:tcW w:w="3332" w:type="dxa"/>
            <w:tcBorders>
              <w:top w:val="single" w:color="auto" w:sz="4" w:space="0"/>
              <w:left w:val="single" w:color="auto" w:sz="4" w:space="0"/>
              <w:bottom w:val="single" w:color="auto" w:sz="4" w:space="0"/>
              <w:right w:val="single" w:color="auto" w:sz="4" w:space="0"/>
            </w:tcBorders>
            <w:shd w:val="clear" w:color="auto" w:fill="auto"/>
            <w:tcMar>
              <w:top w:w="57" w:type="dxa"/>
              <w:left w:w="144" w:type="dxa"/>
              <w:bottom w:w="57" w:type="dxa"/>
              <w:right w:w="144" w:type="dxa"/>
            </w:tcMar>
            <w:vAlign w:val="center"/>
          </w:tcPr>
          <w:p>
            <w:pPr>
              <w:spacing w:before="58" w:after="0" w:line="240" w:lineRule="auto"/>
              <w:textAlignment w:val="baseline"/>
              <w:rPr>
                <w:rFonts w:eastAsia="华文细黑" w:cs="Calibri"/>
                <w:color w:val="000000"/>
                <w:kern w:val="24"/>
                <w:sz w:val="18"/>
                <w:szCs w:val="18"/>
              </w:rPr>
            </w:pPr>
            <w:r>
              <w:rPr>
                <w:rFonts w:eastAsia="华文细黑" w:cs="Calibri"/>
                <w:color w:val="000000"/>
                <w:kern w:val="24"/>
                <w:sz w:val="18"/>
                <w:szCs w:val="18"/>
              </w:rPr>
              <w:t>Expansion Module Option</w:t>
            </w:r>
          </w:p>
        </w:tc>
        <w:tc>
          <w:tcPr>
            <w:tcW w:w="538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58" w:after="0" w:line="240" w:lineRule="auto"/>
              <w:textAlignment w:val="baseline"/>
              <w:rPr>
                <w:rFonts w:eastAsia="华文细黑" w:cs="Calibri"/>
                <w:color w:val="000000"/>
                <w:kern w:val="24"/>
                <w:sz w:val="18"/>
                <w:szCs w:val="18"/>
              </w:rPr>
            </w:pPr>
            <w:r>
              <w:rPr>
                <w:rFonts w:eastAsia="华文细黑" w:cs="Calibri"/>
                <w:color w:val="000000"/>
                <w:kern w:val="24"/>
                <w:sz w:val="18"/>
                <w:szCs w:val="18"/>
              </w:rPr>
              <w:t>ZX-IOC-8GE, ZX-IOC-8SFP</w:t>
            </w:r>
          </w:p>
        </w:tc>
      </w:tr>
      <w:tr>
        <w:tblPrEx>
          <w:tblLayout w:type="fixed"/>
          <w:tblCellMar>
            <w:top w:w="0" w:type="dxa"/>
            <w:left w:w="0" w:type="dxa"/>
            <w:bottom w:w="0" w:type="dxa"/>
            <w:right w:w="0" w:type="dxa"/>
          </w:tblCellMar>
        </w:tblPrEx>
        <w:trPr>
          <w:trHeight w:val="227" w:hRule="atLeast"/>
          <w:jc w:val="center"/>
        </w:trPr>
        <w:tc>
          <w:tcPr>
            <w:tcW w:w="3332" w:type="dxa"/>
            <w:tcBorders>
              <w:top w:val="single" w:color="auto" w:sz="4" w:space="0"/>
              <w:left w:val="single" w:color="auto" w:sz="4" w:space="0"/>
              <w:bottom w:val="single" w:color="auto" w:sz="4" w:space="0"/>
              <w:right w:val="single" w:color="auto" w:sz="4" w:space="0"/>
            </w:tcBorders>
            <w:shd w:val="clear" w:color="auto" w:fill="auto"/>
            <w:tcMar>
              <w:top w:w="57" w:type="dxa"/>
              <w:left w:w="144" w:type="dxa"/>
              <w:bottom w:w="57" w:type="dxa"/>
              <w:right w:w="144" w:type="dxa"/>
            </w:tcMar>
            <w:vAlign w:val="center"/>
          </w:tcPr>
          <w:p>
            <w:pPr>
              <w:spacing w:before="58" w:after="0" w:line="240" w:lineRule="auto"/>
              <w:textAlignment w:val="baseline"/>
              <w:rPr>
                <w:rFonts w:eastAsia="华文细黑" w:cs="Calibri"/>
                <w:color w:val="000000"/>
                <w:kern w:val="24"/>
                <w:sz w:val="18"/>
                <w:szCs w:val="18"/>
              </w:rPr>
            </w:pPr>
            <w:r>
              <w:rPr>
                <w:rFonts w:eastAsia="华文细黑" w:cs="Calibri"/>
                <w:color w:val="000000"/>
                <w:kern w:val="24"/>
                <w:sz w:val="18"/>
                <w:szCs w:val="18"/>
              </w:rPr>
              <w:t>Maximum Power Consumption</w:t>
            </w:r>
          </w:p>
        </w:tc>
        <w:tc>
          <w:tcPr>
            <w:tcW w:w="538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58" w:after="0" w:line="240" w:lineRule="auto"/>
              <w:textAlignment w:val="baseline"/>
              <w:rPr>
                <w:rFonts w:eastAsia="华文细黑" w:cs="Calibri"/>
                <w:color w:val="000000"/>
                <w:kern w:val="24"/>
                <w:sz w:val="18"/>
                <w:szCs w:val="18"/>
              </w:rPr>
            </w:pPr>
            <w:r>
              <w:rPr>
                <w:rFonts w:eastAsia="华文细黑" w:cs="Calibri"/>
                <w:color w:val="000000"/>
                <w:kern w:val="24"/>
                <w:sz w:val="18"/>
                <w:szCs w:val="18"/>
              </w:rPr>
              <w:t>1 x 450W Redundancy 1 + 1</w:t>
            </w:r>
          </w:p>
        </w:tc>
      </w:tr>
      <w:tr>
        <w:tblPrEx>
          <w:tblLayout w:type="fixed"/>
          <w:tblCellMar>
            <w:top w:w="0" w:type="dxa"/>
            <w:left w:w="0" w:type="dxa"/>
            <w:bottom w:w="0" w:type="dxa"/>
            <w:right w:w="0" w:type="dxa"/>
          </w:tblCellMar>
        </w:tblPrEx>
        <w:trPr>
          <w:trHeight w:val="227" w:hRule="atLeast"/>
          <w:jc w:val="center"/>
        </w:trPr>
        <w:tc>
          <w:tcPr>
            <w:tcW w:w="3332" w:type="dxa"/>
            <w:tcBorders>
              <w:top w:val="single" w:color="auto" w:sz="4" w:space="0"/>
              <w:left w:val="single" w:color="auto" w:sz="4" w:space="0"/>
              <w:bottom w:val="single" w:color="auto" w:sz="4" w:space="0"/>
              <w:right w:val="single" w:color="auto" w:sz="4" w:space="0"/>
            </w:tcBorders>
            <w:shd w:val="clear" w:color="auto" w:fill="auto"/>
            <w:tcMar>
              <w:top w:w="57" w:type="dxa"/>
              <w:left w:w="144" w:type="dxa"/>
              <w:bottom w:w="57" w:type="dxa"/>
              <w:right w:w="144" w:type="dxa"/>
            </w:tcMar>
            <w:vAlign w:val="center"/>
          </w:tcPr>
          <w:p>
            <w:pPr>
              <w:spacing w:before="58" w:after="0" w:line="240" w:lineRule="auto"/>
              <w:textAlignment w:val="baseline"/>
              <w:rPr>
                <w:rFonts w:eastAsia="华文细黑" w:cs="Calibri"/>
                <w:color w:val="000000"/>
                <w:kern w:val="24"/>
                <w:sz w:val="18"/>
                <w:szCs w:val="18"/>
              </w:rPr>
            </w:pPr>
            <w:r>
              <w:rPr>
                <w:rFonts w:eastAsia="华文细黑" w:cs="Calibri"/>
                <w:color w:val="000000"/>
                <w:kern w:val="24"/>
                <w:sz w:val="18"/>
                <w:szCs w:val="18"/>
              </w:rPr>
              <w:t>Power Supply</w:t>
            </w:r>
          </w:p>
        </w:tc>
        <w:tc>
          <w:tcPr>
            <w:tcW w:w="538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58" w:after="0" w:line="240" w:lineRule="auto"/>
              <w:textAlignment w:val="baseline"/>
              <w:rPr>
                <w:rFonts w:eastAsia="华文细黑" w:cs="Calibri"/>
                <w:color w:val="000000"/>
                <w:kern w:val="24"/>
                <w:sz w:val="18"/>
                <w:szCs w:val="18"/>
              </w:rPr>
            </w:pPr>
            <w:r>
              <w:rPr>
                <w:rFonts w:eastAsia="华文细黑" w:cs="Calibri"/>
                <w:color w:val="000000"/>
                <w:kern w:val="24"/>
                <w:sz w:val="18"/>
                <w:szCs w:val="18"/>
              </w:rPr>
              <w:t xml:space="preserve">AC 100-240V 50/60Hz </w:t>
            </w:r>
            <w:r>
              <w:rPr>
                <w:rFonts w:hint="eastAsia" w:eastAsia="华文细黑" w:cs="Calibri"/>
                <w:color w:val="000000"/>
                <w:kern w:val="24"/>
                <w:sz w:val="18"/>
                <w:szCs w:val="18"/>
              </w:rPr>
              <w:t xml:space="preserve">  </w:t>
            </w:r>
            <w:r>
              <w:rPr>
                <w:rFonts w:eastAsia="华文细黑" w:cs="Calibri"/>
                <w:color w:val="000000"/>
                <w:kern w:val="24"/>
                <w:sz w:val="18"/>
                <w:szCs w:val="18"/>
              </w:rPr>
              <w:t>DC -40 ~ -60V</w:t>
            </w:r>
          </w:p>
        </w:tc>
      </w:tr>
      <w:tr>
        <w:tblPrEx>
          <w:tblLayout w:type="fixed"/>
          <w:tblCellMar>
            <w:top w:w="0" w:type="dxa"/>
            <w:left w:w="0" w:type="dxa"/>
            <w:bottom w:w="0" w:type="dxa"/>
            <w:right w:w="0" w:type="dxa"/>
          </w:tblCellMar>
        </w:tblPrEx>
        <w:trPr>
          <w:trHeight w:val="227" w:hRule="atLeast"/>
          <w:jc w:val="center"/>
        </w:trPr>
        <w:tc>
          <w:tcPr>
            <w:tcW w:w="3332" w:type="dxa"/>
            <w:tcBorders>
              <w:top w:val="single" w:color="auto" w:sz="4" w:space="0"/>
              <w:left w:val="single" w:color="auto" w:sz="4" w:space="0"/>
              <w:bottom w:val="single" w:color="auto" w:sz="4" w:space="0"/>
              <w:right w:val="single" w:color="auto" w:sz="4" w:space="0"/>
            </w:tcBorders>
            <w:shd w:val="clear" w:color="auto" w:fill="auto"/>
            <w:tcMar>
              <w:top w:w="57" w:type="dxa"/>
              <w:left w:w="144" w:type="dxa"/>
              <w:bottom w:w="57" w:type="dxa"/>
              <w:right w:w="144" w:type="dxa"/>
            </w:tcMar>
            <w:vAlign w:val="center"/>
          </w:tcPr>
          <w:p>
            <w:pPr>
              <w:spacing w:before="58" w:after="0" w:line="240" w:lineRule="auto"/>
              <w:textAlignment w:val="baseline"/>
              <w:rPr>
                <w:rFonts w:eastAsia="华文细黑" w:cs="Calibri"/>
                <w:color w:val="000000"/>
                <w:kern w:val="24"/>
                <w:sz w:val="18"/>
                <w:szCs w:val="18"/>
              </w:rPr>
            </w:pPr>
            <w:r>
              <w:rPr>
                <w:rFonts w:eastAsia="华文细黑" w:cs="Calibri"/>
                <w:color w:val="000000"/>
                <w:kern w:val="24"/>
                <w:sz w:val="18"/>
                <w:szCs w:val="18"/>
              </w:rPr>
              <w:t>Dimension (W×D×H, mm)</w:t>
            </w:r>
          </w:p>
        </w:tc>
        <w:tc>
          <w:tcPr>
            <w:tcW w:w="538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58" w:after="0" w:line="240" w:lineRule="auto"/>
              <w:textAlignment w:val="baseline"/>
              <w:rPr>
                <w:rFonts w:eastAsia="华文细黑" w:cs="Calibri"/>
                <w:color w:val="000000"/>
                <w:kern w:val="24"/>
                <w:sz w:val="18"/>
                <w:szCs w:val="18"/>
              </w:rPr>
            </w:pPr>
            <w:r>
              <w:rPr>
                <w:rFonts w:eastAsia="华文细黑" w:cs="Calibri"/>
                <w:color w:val="000000"/>
                <w:kern w:val="24"/>
                <w:sz w:val="18"/>
                <w:szCs w:val="18"/>
              </w:rPr>
              <w:t>2</w:t>
            </w:r>
            <w:r>
              <w:rPr>
                <w:rFonts w:hint="eastAsia" w:eastAsia="华文细黑" w:cs="Calibri"/>
                <w:color w:val="000000"/>
                <w:kern w:val="24"/>
                <w:sz w:val="18"/>
                <w:szCs w:val="18"/>
                <w:lang w:val="en-US" w:eastAsia="zh-CN"/>
              </w:rPr>
              <w:t>.5</w:t>
            </w:r>
            <w:r>
              <w:rPr>
                <w:rFonts w:eastAsia="华文细黑" w:cs="Calibri"/>
                <w:color w:val="000000"/>
                <w:kern w:val="24"/>
                <w:sz w:val="18"/>
                <w:szCs w:val="18"/>
              </w:rPr>
              <w:t>U (440×</w:t>
            </w:r>
            <w:r>
              <w:rPr>
                <w:rFonts w:hint="eastAsia" w:eastAsia="华文细黑" w:cs="Calibri"/>
                <w:color w:val="000000"/>
                <w:kern w:val="24"/>
                <w:sz w:val="18"/>
                <w:szCs w:val="18"/>
                <w:lang w:val="en-US" w:eastAsia="zh-CN"/>
              </w:rPr>
              <w:t>460</w:t>
            </w:r>
            <w:r>
              <w:rPr>
                <w:rFonts w:eastAsia="华文细黑" w:cs="Calibri"/>
                <w:color w:val="000000"/>
                <w:kern w:val="24"/>
                <w:sz w:val="18"/>
                <w:szCs w:val="18"/>
              </w:rPr>
              <w:t>×</w:t>
            </w:r>
            <w:r>
              <w:rPr>
                <w:rFonts w:hint="eastAsia" w:eastAsia="华文细黑" w:cs="Calibri"/>
                <w:color w:val="000000"/>
                <w:kern w:val="24"/>
                <w:sz w:val="18"/>
                <w:szCs w:val="18"/>
                <w:lang w:val="en-US" w:eastAsia="zh-CN"/>
              </w:rPr>
              <w:t>110</w:t>
            </w:r>
            <w:r>
              <w:rPr>
                <w:rFonts w:eastAsia="华文细黑" w:cs="Calibri"/>
                <w:color w:val="000000"/>
                <w:kern w:val="24"/>
                <w:sz w:val="18"/>
                <w:szCs w:val="18"/>
              </w:rPr>
              <w:t xml:space="preserve"> mm)</w:t>
            </w:r>
          </w:p>
        </w:tc>
      </w:tr>
      <w:tr>
        <w:tblPrEx>
          <w:tblLayout w:type="fixed"/>
          <w:tblCellMar>
            <w:top w:w="0" w:type="dxa"/>
            <w:left w:w="0" w:type="dxa"/>
            <w:bottom w:w="0" w:type="dxa"/>
            <w:right w:w="0" w:type="dxa"/>
          </w:tblCellMar>
        </w:tblPrEx>
        <w:trPr>
          <w:trHeight w:val="227" w:hRule="atLeast"/>
          <w:jc w:val="center"/>
        </w:trPr>
        <w:tc>
          <w:tcPr>
            <w:tcW w:w="3332" w:type="dxa"/>
            <w:tcBorders>
              <w:top w:val="single" w:color="auto" w:sz="4" w:space="0"/>
              <w:left w:val="single" w:color="auto" w:sz="4" w:space="0"/>
              <w:bottom w:val="single" w:color="auto" w:sz="4" w:space="0"/>
              <w:right w:val="single" w:color="auto" w:sz="4" w:space="0"/>
            </w:tcBorders>
            <w:shd w:val="clear" w:color="auto" w:fill="auto"/>
            <w:tcMar>
              <w:top w:w="57" w:type="dxa"/>
              <w:left w:w="144" w:type="dxa"/>
              <w:bottom w:w="57" w:type="dxa"/>
              <w:right w:w="144" w:type="dxa"/>
            </w:tcMar>
            <w:vAlign w:val="center"/>
          </w:tcPr>
          <w:p>
            <w:pPr>
              <w:spacing w:before="58" w:after="0" w:line="240" w:lineRule="auto"/>
              <w:textAlignment w:val="baseline"/>
              <w:rPr>
                <w:rFonts w:eastAsia="华文细黑" w:cs="Calibri"/>
                <w:color w:val="000000"/>
                <w:kern w:val="24"/>
                <w:sz w:val="18"/>
                <w:szCs w:val="18"/>
              </w:rPr>
            </w:pPr>
            <w:r>
              <w:rPr>
                <w:rFonts w:eastAsia="华文细黑" w:cs="Calibri"/>
                <w:color w:val="000000"/>
                <w:kern w:val="24"/>
                <w:sz w:val="18"/>
                <w:szCs w:val="18"/>
              </w:rPr>
              <w:t>Weight</w:t>
            </w:r>
          </w:p>
        </w:tc>
        <w:tc>
          <w:tcPr>
            <w:tcW w:w="538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58" w:after="0" w:line="240" w:lineRule="auto"/>
              <w:textAlignment w:val="baseline"/>
              <w:rPr>
                <w:rFonts w:eastAsia="华文细黑" w:cs="Calibri"/>
                <w:color w:val="000000"/>
                <w:kern w:val="24"/>
                <w:sz w:val="18"/>
                <w:szCs w:val="18"/>
              </w:rPr>
            </w:pPr>
            <w:r>
              <w:rPr>
                <w:rFonts w:eastAsia="华文细黑" w:cs="Calibri"/>
                <w:color w:val="000000"/>
                <w:kern w:val="24"/>
                <w:sz w:val="18"/>
                <w:szCs w:val="18"/>
              </w:rPr>
              <w:t>1</w:t>
            </w:r>
            <w:r>
              <w:rPr>
                <w:rFonts w:hint="eastAsia" w:eastAsia="华文细黑" w:cs="Calibri"/>
                <w:color w:val="000000"/>
                <w:kern w:val="24"/>
                <w:sz w:val="18"/>
                <w:szCs w:val="18"/>
                <w:lang w:val="en-US" w:eastAsia="zh-CN"/>
              </w:rPr>
              <w:t>3.8</w:t>
            </w:r>
            <w:r>
              <w:rPr>
                <w:rFonts w:eastAsia="华文细黑" w:cs="Calibri"/>
                <w:color w:val="000000"/>
                <w:kern w:val="24"/>
                <w:sz w:val="18"/>
                <w:szCs w:val="18"/>
              </w:rPr>
              <w:t>kg</w:t>
            </w:r>
          </w:p>
        </w:tc>
      </w:tr>
      <w:tr>
        <w:tblPrEx>
          <w:tblLayout w:type="fixed"/>
          <w:tblCellMar>
            <w:top w:w="0" w:type="dxa"/>
            <w:left w:w="0" w:type="dxa"/>
            <w:bottom w:w="0" w:type="dxa"/>
            <w:right w:w="0" w:type="dxa"/>
          </w:tblCellMar>
        </w:tblPrEx>
        <w:trPr>
          <w:trHeight w:val="227" w:hRule="atLeast"/>
          <w:jc w:val="center"/>
        </w:trPr>
        <w:tc>
          <w:tcPr>
            <w:tcW w:w="3332" w:type="dxa"/>
            <w:tcBorders>
              <w:top w:val="single" w:color="auto" w:sz="4" w:space="0"/>
              <w:left w:val="single" w:color="auto" w:sz="4" w:space="0"/>
              <w:bottom w:val="single" w:color="auto" w:sz="4" w:space="0"/>
              <w:right w:val="single" w:color="auto" w:sz="4" w:space="0"/>
            </w:tcBorders>
            <w:shd w:val="clear" w:color="auto" w:fill="auto"/>
            <w:tcMar>
              <w:top w:w="57" w:type="dxa"/>
              <w:left w:w="144" w:type="dxa"/>
              <w:bottom w:w="57" w:type="dxa"/>
              <w:right w:w="144" w:type="dxa"/>
            </w:tcMar>
            <w:vAlign w:val="center"/>
          </w:tcPr>
          <w:p>
            <w:pPr>
              <w:spacing w:before="58" w:after="0" w:line="240" w:lineRule="auto"/>
              <w:textAlignment w:val="baseline"/>
              <w:rPr>
                <w:rFonts w:eastAsia="华文细黑" w:cs="Calibri"/>
                <w:color w:val="000000"/>
                <w:kern w:val="24"/>
                <w:sz w:val="18"/>
                <w:szCs w:val="18"/>
              </w:rPr>
            </w:pPr>
            <w:r>
              <w:rPr>
                <w:rFonts w:hint="eastAsia" w:eastAsia="华文细黑" w:cs="Calibri"/>
                <w:color w:val="000000"/>
                <w:kern w:val="24"/>
                <w:sz w:val="18"/>
                <w:szCs w:val="18"/>
              </w:rPr>
              <w:t>Package Size</w:t>
            </w:r>
            <w:r>
              <w:rPr>
                <w:rFonts w:eastAsia="华文细黑" w:cs="Calibri"/>
                <w:color w:val="000000"/>
                <w:kern w:val="24"/>
                <w:sz w:val="18"/>
                <w:szCs w:val="18"/>
              </w:rPr>
              <w:t xml:space="preserve"> (W×D×H, mm)</w:t>
            </w:r>
          </w:p>
        </w:tc>
        <w:tc>
          <w:tcPr>
            <w:tcW w:w="538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58" w:after="0" w:line="240" w:lineRule="auto"/>
              <w:textAlignment w:val="baseline"/>
              <w:rPr>
                <w:rFonts w:eastAsia="华文细黑" w:cs="Calibri"/>
                <w:color w:val="000000"/>
                <w:kern w:val="24"/>
                <w:sz w:val="18"/>
                <w:szCs w:val="18"/>
              </w:rPr>
            </w:pPr>
            <w:r>
              <w:rPr>
                <w:rFonts w:hint="eastAsia" w:eastAsia="华文细黑" w:cs="Calibri"/>
                <w:color w:val="000000"/>
                <w:kern w:val="24"/>
                <w:sz w:val="18"/>
                <w:szCs w:val="18"/>
              </w:rPr>
              <w:t>7</w:t>
            </w:r>
            <w:r>
              <w:rPr>
                <w:rFonts w:eastAsia="华文细黑" w:cs="Calibri"/>
                <w:color w:val="000000"/>
                <w:kern w:val="24"/>
                <w:sz w:val="18"/>
                <w:szCs w:val="18"/>
              </w:rPr>
              <w:t>40×</w:t>
            </w:r>
            <w:r>
              <w:rPr>
                <w:rFonts w:hint="eastAsia" w:eastAsia="华文细黑" w:cs="Calibri"/>
                <w:color w:val="000000"/>
                <w:kern w:val="24"/>
                <w:sz w:val="18"/>
                <w:szCs w:val="18"/>
              </w:rPr>
              <w:t>64</w:t>
            </w:r>
            <w:r>
              <w:rPr>
                <w:rFonts w:eastAsia="华文细黑" w:cs="Calibri"/>
                <w:color w:val="000000"/>
                <w:kern w:val="24"/>
                <w:sz w:val="18"/>
                <w:szCs w:val="18"/>
              </w:rPr>
              <w:t>0×</w:t>
            </w:r>
            <w:r>
              <w:rPr>
                <w:rFonts w:hint="eastAsia" w:eastAsia="华文细黑" w:cs="Calibri"/>
                <w:color w:val="000000"/>
                <w:kern w:val="24"/>
                <w:sz w:val="18"/>
                <w:szCs w:val="18"/>
              </w:rPr>
              <w:t>300</w:t>
            </w:r>
            <w:r>
              <w:rPr>
                <w:rFonts w:eastAsia="华文细黑" w:cs="Calibri"/>
                <w:color w:val="000000"/>
                <w:kern w:val="24"/>
                <w:sz w:val="18"/>
                <w:szCs w:val="18"/>
              </w:rPr>
              <w:t xml:space="preserve"> mm</w:t>
            </w:r>
          </w:p>
        </w:tc>
      </w:tr>
      <w:tr>
        <w:tblPrEx>
          <w:tblLayout w:type="fixed"/>
          <w:tblCellMar>
            <w:top w:w="0" w:type="dxa"/>
            <w:left w:w="0" w:type="dxa"/>
            <w:bottom w:w="0" w:type="dxa"/>
            <w:right w:w="0" w:type="dxa"/>
          </w:tblCellMar>
        </w:tblPrEx>
        <w:trPr>
          <w:trHeight w:val="227" w:hRule="atLeast"/>
          <w:jc w:val="center"/>
        </w:trPr>
        <w:tc>
          <w:tcPr>
            <w:tcW w:w="3332" w:type="dxa"/>
            <w:tcBorders>
              <w:top w:val="single" w:color="auto" w:sz="4" w:space="0"/>
              <w:left w:val="single" w:color="auto" w:sz="4" w:space="0"/>
              <w:bottom w:val="single" w:color="auto" w:sz="4" w:space="0"/>
              <w:right w:val="single" w:color="auto" w:sz="4" w:space="0"/>
            </w:tcBorders>
            <w:shd w:val="clear" w:color="auto" w:fill="auto"/>
            <w:tcMar>
              <w:top w:w="57" w:type="dxa"/>
              <w:left w:w="144" w:type="dxa"/>
              <w:bottom w:w="57" w:type="dxa"/>
              <w:right w:w="144" w:type="dxa"/>
            </w:tcMar>
            <w:vAlign w:val="center"/>
          </w:tcPr>
          <w:p>
            <w:pPr>
              <w:spacing w:before="58" w:after="0" w:line="240" w:lineRule="auto"/>
              <w:textAlignment w:val="baseline"/>
              <w:rPr>
                <w:rFonts w:eastAsia="华文细黑" w:cs="Calibri"/>
                <w:color w:val="000000"/>
                <w:kern w:val="24"/>
                <w:sz w:val="18"/>
                <w:szCs w:val="18"/>
              </w:rPr>
            </w:pPr>
            <w:r>
              <w:rPr>
                <w:rFonts w:hint="eastAsia" w:eastAsia="华文细黑" w:cs="Calibri"/>
                <w:color w:val="000000"/>
                <w:kern w:val="24"/>
                <w:sz w:val="18"/>
                <w:szCs w:val="18"/>
              </w:rPr>
              <w:t xml:space="preserve">Gross </w:t>
            </w:r>
            <w:r>
              <w:rPr>
                <w:rFonts w:eastAsia="华文细黑" w:cs="Calibri"/>
                <w:color w:val="000000"/>
                <w:kern w:val="24"/>
                <w:sz w:val="18"/>
                <w:szCs w:val="18"/>
              </w:rPr>
              <w:t>Weight</w:t>
            </w:r>
          </w:p>
        </w:tc>
        <w:tc>
          <w:tcPr>
            <w:tcW w:w="538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58" w:after="0" w:line="240" w:lineRule="auto"/>
              <w:textAlignment w:val="baseline"/>
              <w:rPr>
                <w:rFonts w:eastAsia="华文细黑" w:cs="Calibri"/>
                <w:color w:val="000000"/>
                <w:kern w:val="24"/>
                <w:sz w:val="18"/>
                <w:szCs w:val="18"/>
              </w:rPr>
            </w:pPr>
            <w:r>
              <w:rPr>
                <w:rFonts w:hint="eastAsia" w:eastAsia="华文细黑" w:cs="Calibri"/>
                <w:color w:val="000000"/>
                <w:kern w:val="24"/>
                <w:sz w:val="18"/>
                <w:szCs w:val="18"/>
              </w:rPr>
              <w:t>19.9</w:t>
            </w:r>
            <w:r>
              <w:rPr>
                <w:rFonts w:eastAsia="华文细黑" w:cs="Calibri"/>
                <w:color w:val="000000"/>
                <w:kern w:val="24"/>
                <w:sz w:val="18"/>
                <w:szCs w:val="18"/>
              </w:rPr>
              <w:t>kg</w:t>
            </w:r>
          </w:p>
        </w:tc>
      </w:tr>
      <w:tr>
        <w:tblPrEx>
          <w:tblLayout w:type="fixed"/>
          <w:tblCellMar>
            <w:top w:w="0" w:type="dxa"/>
            <w:left w:w="0" w:type="dxa"/>
            <w:bottom w:w="0" w:type="dxa"/>
            <w:right w:w="0" w:type="dxa"/>
          </w:tblCellMar>
        </w:tblPrEx>
        <w:trPr>
          <w:trHeight w:val="227" w:hRule="atLeast"/>
          <w:jc w:val="center"/>
        </w:trPr>
        <w:tc>
          <w:tcPr>
            <w:tcW w:w="3332" w:type="dxa"/>
            <w:tcBorders>
              <w:top w:val="single" w:color="auto" w:sz="4" w:space="0"/>
              <w:left w:val="single" w:color="auto" w:sz="4" w:space="0"/>
              <w:bottom w:val="single" w:color="auto" w:sz="4" w:space="0"/>
              <w:right w:val="single" w:color="auto" w:sz="4" w:space="0"/>
            </w:tcBorders>
            <w:shd w:val="clear" w:color="auto" w:fill="auto"/>
            <w:tcMar>
              <w:top w:w="57" w:type="dxa"/>
              <w:left w:w="144" w:type="dxa"/>
              <w:bottom w:w="57" w:type="dxa"/>
              <w:right w:w="144" w:type="dxa"/>
            </w:tcMar>
            <w:vAlign w:val="center"/>
          </w:tcPr>
          <w:p>
            <w:pPr>
              <w:spacing w:before="58" w:after="0" w:line="240" w:lineRule="auto"/>
              <w:textAlignment w:val="baseline"/>
              <w:rPr>
                <w:rFonts w:eastAsia="华文细黑" w:cs="Calibri"/>
                <w:color w:val="000000"/>
                <w:kern w:val="24"/>
                <w:sz w:val="18"/>
                <w:szCs w:val="18"/>
              </w:rPr>
            </w:pPr>
            <w:r>
              <w:rPr>
                <w:rFonts w:eastAsia="华文细黑" w:cs="Calibri"/>
                <w:color w:val="000000"/>
                <w:kern w:val="24"/>
                <w:sz w:val="18"/>
                <w:szCs w:val="18"/>
              </w:rPr>
              <w:t>Temperature</w:t>
            </w:r>
          </w:p>
        </w:tc>
        <w:tc>
          <w:tcPr>
            <w:tcW w:w="538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58" w:after="0" w:line="240" w:lineRule="auto"/>
              <w:textAlignment w:val="baseline"/>
              <w:rPr>
                <w:rFonts w:eastAsia="华文细黑" w:cs="Calibri"/>
                <w:color w:val="000000"/>
                <w:kern w:val="24"/>
                <w:sz w:val="18"/>
                <w:szCs w:val="18"/>
              </w:rPr>
            </w:pPr>
            <w:r>
              <w:rPr>
                <w:rFonts w:eastAsia="华文细黑" w:cs="Calibri"/>
                <w:color w:val="000000"/>
                <w:kern w:val="24"/>
                <w:sz w:val="18"/>
                <w:szCs w:val="18"/>
              </w:rPr>
              <w:t>32-104 F (0-40</w:t>
            </w:r>
            <w:r>
              <w:rPr>
                <w:rFonts w:hint="eastAsia" w:eastAsia="华文细黑" w:cs="Calibri"/>
                <w:color w:val="000000"/>
                <w:kern w:val="24"/>
                <w:sz w:val="18"/>
                <w:szCs w:val="18"/>
              </w:rPr>
              <w:t>℃</w:t>
            </w:r>
            <w:r>
              <w:rPr>
                <w:rFonts w:eastAsia="华文细黑" w:cs="Calibri"/>
                <w:color w:val="000000"/>
                <w:kern w:val="24"/>
                <w:sz w:val="18"/>
                <w:szCs w:val="18"/>
              </w:rPr>
              <w:t xml:space="preserve"> )</w:t>
            </w:r>
          </w:p>
        </w:tc>
      </w:tr>
      <w:tr>
        <w:tblPrEx>
          <w:tblLayout w:type="fixed"/>
          <w:tblCellMar>
            <w:top w:w="0" w:type="dxa"/>
            <w:left w:w="0" w:type="dxa"/>
            <w:bottom w:w="0" w:type="dxa"/>
            <w:right w:w="0" w:type="dxa"/>
          </w:tblCellMar>
        </w:tblPrEx>
        <w:trPr>
          <w:trHeight w:val="227" w:hRule="atLeast"/>
          <w:jc w:val="center"/>
        </w:trPr>
        <w:tc>
          <w:tcPr>
            <w:tcW w:w="3332" w:type="dxa"/>
            <w:tcBorders>
              <w:top w:val="single" w:color="auto" w:sz="4" w:space="0"/>
              <w:left w:val="single" w:color="auto" w:sz="4" w:space="0"/>
              <w:bottom w:val="single" w:color="auto" w:sz="4" w:space="0"/>
              <w:right w:val="single" w:color="auto" w:sz="4" w:space="0"/>
            </w:tcBorders>
            <w:shd w:val="clear" w:color="auto" w:fill="auto"/>
            <w:tcMar>
              <w:top w:w="57" w:type="dxa"/>
              <w:left w:w="144" w:type="dxa"/>
              <w:bottom w:w="57" w:type="dxa"/>
              <w:right w:w="144" w:type="dxa"/>
            </w:tcMar>
            <w:vAlign w:val="center"/>
          </w:tcPr>
          <w:p>
            <w:pPr>
              <w:spacing w:before="58" w:after="0" w:line="240" w:lineRule="auto"/>
              <w:textAlignment w:val="baseline"/>
              <w:rPr>
                <w:rFonts w:eastAsia="华文细黑" w:cs="Calibri"/>
                <w:color w:val="000000"/>
                <w:kern w:val="24"/>
                <w:sz w:val="18"/>
                <w:szCs w:val="18"/>
              </w:rPr>
            </w:pPr>
            <w:r>
              <w:rPr>
                <w:rFonts w:eastAsia="华文细黑" w:cs="Calibri"/>
                <w:color w:val="000000"/>
                <w:kern w:val="24"/>
                <w:sz w:val="18"/>
                <w:szCs w:val="18"/>
              </w:rPr>
              <w:t>Relative Humidity</w:t>
            </w:r>
          </w:p>
        </w:tc>
        <w:tc>
          <w:tcPr>
            <w:tcW w:w="538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58" w:after="0" w:line="240" w:lineRule="auto"/>
              <w:textAlignment w:val="baseline"/>
              <w:rPr>
                <w:rFonts w:eastAsia="华文细黑" w:cs="Calibri"/>
                <w:color w:val="000000"/>
                <w:kern w:val="24"/>
                <w:sz w:val="18"/>
                <w:szCs w:val="18"/>
              </w:rPr>
            </w:pPr>
            <w:r>
              <w:rPr>
                <w:rFonts w:eastAsia="华文细黑" w:cs="Calibri"/>
                <w:color w:val="000000"/>
                <w:kern w:val="24"/>
                <w:sz w:val="18"/>
                <w:szCs w:val="18"/>
              </w:rPr>
              <w:t>10-95%(no dew)</w:t>
            </w:r>
          </w:p>
        </w:tc>
      </w:tr>
    </w:tbl>
    <w:p>
      <w:pPr>
        <w:pStyle w:val="24"/>
        <w:numPr>
          <w:ilvl w:val="0"/>
          <w:numId w:val="0"/>
        </w:numPr>
        <w:tabs>
          <w:tab w:val="clear" w:pos="420"/>
        </w:tabs>
        <w:ind w:leftChars="0"/>
      </w:pPr>
    </w:p>
    <w:p>
      <w:pPr>
        <w:pStyle w:val="24"/>
      </w:pPr>
      <w:r>
        <w:t>Module Options</w:t>
      </w:r>
    </w:p>
    <w:tbl>
      <w:tblPr>
        <w:tblStyle w:val="8"/>
        <w:tblW w:w="9171" w:type="dxa"/>
        <w:tblInd w:w="93" w:type="dxa"/>
        <w:tblLayout w:type="fixed"/>
        <w:tblCellMar>
          <w:top w:w="0" w:type="dxa"/>
          <w:left w:w="108" w:type="dxa"/>
          <w:bottom w:w="0" w:type="dxa"/>
          <w:right w:w="108" w:type="dxa"/>
        </w:tblCellMar>
      </w:tblPr>
      <w:tblGrid>
        <w:gridCol w:w="1471"/>
        <w:gridCol w:w="3872"/>
        <w:gridCol w:w="3828"/>
      </w:tblGrid>
      <w:tr>
        <w:tblPrEx>
          <w:tblLayout w:type="fixed"/>
          <w:tblCellMar>
            <w:top w:w="0" w:type="dxa"/>
            <w:left w:w="108" w:type="dxa"/>
            <w:bottom w:w="0" w:type="dxa"/>
            <w:right w:w="108" w:type="dxa"/>
          </w:tblCellMar>
        </w:tblPrEx>
        <w:trPr>
          <w:trHeight w:val="474" w:hRule="atLeast"/>
        </w:trPr>
        <w:tc>
          <w:tcPr>
            <w:tcW w:w="1471" w:type="dxa"/>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pPr>
              <w:spacing w:after="0" w:line="240" w:lineRule="auto"/>
              <w:rPr>
                <w:rFonts w:cs="Calibri"/>
                <w:b/>
                <w:color w:val="000000"/>
              </w:rPr>
            </w:pPr>
            <w:r>
              <w:rPr>
                <w:rFonts w:cs="Calibri"/>
                <w:b/>
                <w:color w:val="000000"/>
              </w:rPr>
              <w:t>Specification</w:t>
            </w:r>
          </w:p>
        </w:tc>
        <w:tc>
          <w:tcPr>
            <w:tcW w:w="3872" w:type="dxa"/>
            <w:tcBorders>
              <w:top w:val="single" w:color="auto" w:sz="4" w:space="0"/>
              <w:left w:val="nil"/>
              <w:bottom w:val="single" w:color="auto" w:sz="4" w:space="0"/>
              <w:right w:val="single" w:color="auto" w:sz="4" w:space="0"/>
            </w:tcBorders>
            <w:shd w:val="clear" w:color="auto" w:fill="8DB3E2" w:themeFill="text2" w:themeFillTint="66"/>
            <w:vAlign w:val="center"/>
          </w:tcPr>
          <w:p>
            <w:pPr>
              <w:spacing w:after="0" w:line="240" w:lineRule="auto"/>
              <w:rPr>
                <w:rFonts w:cs="Calibri"/>
                <w:b/>
                <w:color w:val="000000"/>
              </w:rPr>
            </w:pPr>
            <w:r>
              <w:rPr>
                <w:rFonts w:cs="Calibri"/>
                <w:b/>
                <w:color w:val="000000"/>
              </w:rPr>
              <w:t>ZX-IOC-8GE</w:t>
            </w:r>
          </w:p>
        </w:tc>
        <w:tc>
          <w:tcPr>
            <w:tcW w:w="3828" w:type="dxa"/>
            <w:tcBorders>
              <w:top w:val="single" w:color="auto" w:sz="4" w:space="0"/>
              <w:left w:val="nil"/>
              <w:bottom w:val="single" w:color="auto" w:sz="4" w:space="0"/>
              <w:right w:val="single" w:color="auto" w:sz="4" w:space="0"/>
            </w:tcBorders>
            <w:shd w:val="clear" w:color="auto" w:fill="8DB3E2" w:themeFill="text2" w:themeFillTint="66"/>
            <w:vAlign w:val="center"/>
          </w:tcPr>
          <w:p>
            <w:pPr>
              <w:spacing w:after="0" w:line="240" w:lineRule="auto"/>
              <w:rPr>
                <w:rFonts w:cs="Calibri"/>
                <w:b/>
                <w:color w:val="000000"/>
              </w:rPr>
            </w:pPr>
            <w:r>
              <w:rPr>
                <w:rFonts w:cs="Calibri"/>
                <w:b/>
                <w:color w:val="000000"/>
              </w:rPr>
              <w:t>ZX-IOC-8SFP</w:t>
            </w:r>
          </w:p>
        </w:tc>
      </w:tr>
      <w:tr>
        <w:tblPrEx>
          <w:tblLayout w:type="fixed"/>
          <w:tblCellMar>
            <w:top w:w="0" w:type="dxa"/>
            <w:left w:w="108" w:type="dxa"/>
            <w:bottom w:w="0" w:type="dxa"/>
            <w:right w:w="108" w:type="dxa"/>
          </w:tblCellMar>
        </w:tblPrEx>
        <w:trPr>
          <w:trHeight w:val="489" w:hRule="atLeast"/>
        </w:trPr>
        <w:tc>
          <w:tcPr>
            <w:tcW w:w="1471"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rPr>
                <w:rFonts w:cs="Calibri"/>
                <w:color w:val="000000"/>
              </w:rPr>
            </w:pPr>
            <w:r>
              <w:rPr>
                <w:rFonts w:hint="eastAsia" w:cs="Calibri"/>
                <w:color w:val="000000"/>
              </w:rPr>
              <w:t>Picture</w:t>
            </w:r>
          </w:p>
        </w:tc>
        <w:tc>
          <w:tcPr>
            <w:tcW w:w="3872" w:type="dxa"/>
            <w:tcBorders>
              <w:top w:val="nil"/>
              <w:left w:val="nil"/>
              <w:bottom w:val="single" w:color="auto" w:sz="4" w:space="0"/>
              <w:right w:val="single" w:color="auto" w:sz="4" w:space="0"/>
            </w:tcBorders>
            <w:shd w:val="clear" w:color="auto" w:fill="auto"/>
            <w:vAlign w:val="bottom"/>
          </w:tcPr>
          <w:p>
            <w:pPr>
              <w:spacing w:after="0" w:line="240" w:lineRule="auto"/>
              <w:rPr>
                <w:rFonts w:cs="Calibri"/>
                <w:color w:val="000000"/>
              </w:rPr>
            </w:pPr>
            <w:r>
              <w:rPr>
                <w:rFonts w:ascii="黑体" w:hAnsi="黑体" w:eastAsia="黑体" w:cs="宋体"/>
                <w:b/>
                <w:caps/>
                <w:color w:val="08287E"/>
                <w:sz w:val="16"/>
                <w:szCs w:val="16"/>
              </w:rPr>
              <w:drawing>
                <wp:inline distT="0" distB="0" distL="0" distR="0">
                  <wp:extent cx="1533525" cy="276225"/>
                  <wp:effectExtent l="0" t="0" r="3175" b="3175"/>
                  <wp:docPr id="2" name="图片 25" descr="C:\Users\huangsang\Desktop\IOC-8GE-M_fro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 descr="C:\Users\huangsang\Desktop\IOC-8GE-M_front.tif"/>
                          <pic:cNvPicPr>
                            <a:picLocks noChangeAspect="1" noChangeArrowheads="1"/>
                          </pic:cNvPicPr>
                        </pic:nvPicPr>
                        <pic:blipFill>
                          <a:blip r:embed="rId14" cstate="print"/>
                          <a:srcRect/>
                          <a:stretch>
                            <a:fillRect/>
                          </a:stretch>
                        </pic:blipFill>
                        <pic:spPr>
                          <a:xfrm>
                            <a:off x="0" y="0"/>
                            <a:ext cx="1533525" cy="276225"/>
                          </a:xfrm>
                          <a:prstGeom prst="rect">
                            <a:avLst/>
                          </a:prstGeom>
                          <a:noFill/>
                          <a:ln w="9525">
                            <a:noFill/>
                            <a:miter lim="800000"/>
                            <a:headEnd/>
                            <a:tailEnd/>
                          </a:ln>
                        </pic:spPr>
                      </pic:pic>
                    </a:graphicData>
                  </a:graphic>
                </wp:inline>
              </w:drawing>
            </w:r>
          </w:p>
        </w:tc>
        <w:tc>
          <w:tcPr>
            <w:tcW w:w="3828" w:type="dxa"/>
            <w:tcBorders>
              <w:top w:val="nil"/>
              <w:left w:val="nil"/>
              <w:bottom w:val="single" w:color="auto" w:sz="4" w:space="0"/>
              <w:right w:val="single" w:color="auto" w:sz="4" w:space="0"/>
            </w:tcBorders>
            <w:shd w:val="clear" w:color="auto" w:fill="auto"/>
            <w:vAlign w:val="bottom"/>
          </w:tcPr>
          <w:p>
            <w:pPr>
              <w:spacing w:after="0" w:line="240" w:lineRule="auto"/>
              <w:rPr>
                <w:rFonts w:cs="Calibri"/>
                <w:color w:val="000000"/>
              </w:rPr>
            </w:pPr>
            <w:r>
              <w:rPr>
                <w:b/>
                <w:color w:val="FFFFFF"/>
                <w:sz w:val="16"/>
                <w:szCs w:val="16"/>
              </w:rPr>
              <w:drawing>
                <wp:inline distT="0" distB="0" distL="0" distR="0">
                  <wp:extent cx="1628775" cy="276225"/>
                  <wp:effectExtent l="0" t="0" r="9525" b="3175"/>
                  <wp:docPr id="22" name="图片 14" descr="C:\Users\huangsang\Desktop\IOC-8SFP-M_fro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C:\Users\huangsang\Desktop\IOC-8SFP-M_front.tif"/>
                          <pic:cNvPicPr>
                            <a:picLocks noChangeAspect="1" noChangeArrowheads="1"/>
                          </pic:cNvPicPr>
                        </pic:nvPicPr>
                        <pic:blipFill>
                          <a:blip r:embed="rId15" cstate="print"/>
                          <a:srcRect/>
                          <a:stretch>
                            <a:fillRect/>
                          </a:stretch>
                        </pic:blipFill>
                        <pic:spPr>
                          <a:xfrm>
                            <a:off x="0" y="0"/>
                            <a:ext cx="1628775" cy="276225"/>
                          </a:xfrm>
                          <a:prstGeom prst="rect">
                            <a:avLst/>
                          </a:prstGeom>
                          <a:noFill/>
                          <a:ln w="9525">
                            <a:noFill/>
                            <a:miter lim="800000"/>
                            <a:headEnd/>
                            <a:tailEnd/>
                          </a:ln>
                        </pic:spPr>
                      </pic:pic>
                    </a:graphicData>
                  </a:graphic>
                </wp:inline>
              </w:drawing>
            </w:r>
          </w:p>
        </w:tc>
      </w:tr>
      <w:tr>
        <w:tblPrEx>
          <w:tblLayout w:type="fixed"/>
          <w:tblCellMar>
            <w:top w:w="0" w:type="dxa"/>
            <w:left w:w="108" w:type="dxa"/>
            <w:bottom w:w="0" w:type="dxa"/>
            <w:right w:w="108" w:type="dxa"/>
          </w:tblCellMar>
        </w:tblPrEx>
        <w:trPr>
          <w:trHeight w:val="474" w:hRule="atLeast"/>
        </w:trPr>
        <w:tc>
          <w:tcPr>
            <w:tcW w:w="147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rPr>
                <w:rFonts w:cs="Calibri"/>
                <w:color w:val="000000"/>
              </w:rPr>
            </w:pPr>
            <w:r>
              <w:rPr>
                <w:rFonts w:cs="Calibri"/>
                <w:color w:val="000000"/>
              </w:rPr>
              <w:t>Name</w:t>
            </w:r>
          </w:p>
        </w:tc>
        <w:tc>
          <w:tcPr>
            <w:tcW w:w="3872" w:type="dxa"/>
            <w:tcBorders>
              <w:top w:val="nil"/>
              <w:left w:val="nil"/>
              <w:bottom w:val="single" w:color="auto" w:sz="4" w:space="0"/>
              <w:right w:val="single" w:color="auto" w:sz="4" w:space="0"/>
            </w:tcBorders>
            <w:shd w:val="clear" w:color="auto" w:fill="auto"/>
            <w:vAlign w:val="center"/>
          </w:tcPr>
          <w:p>
            <w:pPr>
              <w:spacing w:after="0" w:line="240" w:lineRule="auto"/>
              <w:rPr>
                <w:rFonts w:cs="Calibri"/>
                <w:color w:val="000000"/>
              </w:rPr>
            </w:pPr>
            <w:r>
              <w:rPr>
                <w:rFonts w:cs="Calibri"/>
                <w:color w:val="000000"/>
              </w:rPr>
              <w:t>8GE</w:t>
            </w:r>
            <w:r>
              <w:rPr>
                <w:rFonts w:hint="eastAsia" w:cs="Calibri"/>
                <w:color w:val="000000"/>
              </w:rPr>
              <w:t xml:space="preserve"> </w:t>
            </w:r>
            <w:r>
              <w:rPr>
                <w:rFonts w:cs="Calibri"/>
                <w:color w:val="000000"/>
              </w:rPr>
              <w:t>Extension Module</w:t>
            </w:r>
          </w:p>
        </w:tc>
        <w:tc>
          <w:tcPr>
            <w:tcW w:w="3828" w:type="dxa"/>
            <w:tcBorders>
              <w:top w:val="nil"/>
              <w:left w:val="nil"/>
              <w:bottom w:val="single" w:color="auto" w:sz="4" w:space="0"/>
              <w:right w:val="single" w:color="auto" w:sz="4" w:space="0"/>
            </w:tcBorders>
            <w:shd w:val="clear" w:color="auto" w:fill="auto"/>
            <w:vAlign w:val="center"/>
          </w:tcPr>
          <w:p>
            <w:pPr>
              <w:spacing w:after="0" w:line="240" w:lineRule="auto"/>
              <w:rPr>
                <w:rFonts w:cs="Calibri"/>
                <w:color w:val="000000"/>
              </w:rPr>
            </w:pPr>
            <w:r>
              <w:rPr>
                <w:rFonts w:cs="Calibri"/>
                <w:color w:val="000000"/>
              </w:rPr>
              <w:t>8SFP Extension Module</w:t>
            </w:r>
          </w:p>
        </w:tc>
      </w:tr>
      <w:tr>
        <w:tblPrEx>
          <w:tblLayout w:type="fixed"/>
          <w:tblCellMar>
            <w:top w:w="0" w:type="dxa"/>
            <w:left w:w="108" w:type="dxa"/>
            <w:bottom w:w="0" w:type="dxa"/>
            <w:right w:w="108" w:type="dxa"/>
          </w:tblCellMar>
        </w:tblPrEx>
        <w:trPr>
          <w:trHeight w:val="474" w:hRule="atLeast"/>
        </w:trPr>
        <w:tc>
          <w:tcPr>
            <w:tcW w:w="147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rPr>
                <w:rFonts w:cs="Calibri"/>
                <w:color w:val="000000"/>
              </w:rPr>
            </w:pPr>
            <w:r>
              <w:rPr>
                <w:rFonts w:cs="Calibri"/>
                <w:color w:val="000000"/>
              </w:rPr>
              <w:t>I/O Ports</w:t>
            </w:r>
          </w:p>
        </w:tc>
        <w:tc>
          <w:tcPr>
            <w:tcW w:w="3872" w:type="dxa"/>
            <w:tcBorders>
              <w:top w:val="nil"/>
              <w:left w:val="nil"/>
              <w:bottom w:val="single" w:color="auto" w:sz="4" w:space="0"/>
              <w:right w:val="single" w:color="auto" w:sz="4" w:space="0"/>
            </w:tcBorders>
            <w:shd w:val="clear" w:color="auto" w:fill="auto"/>
            <w:vAlign w:val="center"/>
          </w:tcPr>
          <w:p>
            <w:pPr>
              <w:spacing w:after="0" w:line="240" w:lineRule="auto"/>
              <w:rPr>
                <w:rFonts w:cs="Calibri"/>
                <w:color w:val="000000"/>
              </w:rPr>
            </w:pPr>
            <w:r>
              <w:rPr>
                <w:rFonts w:cs="Calibri"/>
                <w:color w:val="000000"/>
              </w:rPr>
              <w:t>8 x GE</w:t>
            </w:r>
          </w:p>
        </w:tc>
        <w:tc>
          <w:tcPr>
            <w:tcW w:w="3828" w:type="dxa"/>
            <w:tcBorders>
              <w:top w:val="nil"/>
              <w:left w:val="nil"/>
              <w:bottom w:val="single" w:color="auto" w:sz="4" w:space="0"/>
              <w:right w:val="single" w:color="auto" w:sz="4" w:space="0"/>
            </w:tcBorders>
            <w:shd w:val="clear" w:color="auto" w:fill="auto"/>
            <w:vAlign w:val="center"/>
          </w:tcPr>
          <w:p>
            <w:pPr>
              <w:spacing w:after="0" w:line="240" w:lineRule="auto"/>
              <w:rPr>
                <w:rFonts w:cs="Calibri"/>
                <w:color w:val="000000"/>
              </w:rPr>
            </w:pPr>
            <w:r>
              <w:rPr>
                <w:rFonts w:cs="Calibri"/>
                <w:color w:val="000000"/>
              </w:rPr>
              <w:t>8 x SFP, SFP module not included</w:t>
            </w:r>
          </w:p>
        </w:tc>
      </w:tr>
      <w:tr>
        <w:tblPrEx>
          <w:tblLayout w:type="fixed"/>
          <w:tblCellMar>
            <w:top w:w="0" w:type="dxa"/>
            <w:left w:w="108" w:type="dxa"/>
            <w:bottom w:w="0" w:type="dxa"/>
            <w:right w:w="108" w:type="dxa"/>
          </w:tblCellMar>
        </w:tblPrEx>
        <w:trPr>
          <w:trHeight w:val="474" w:hRule="atLeast"/>
        </w:trPr>
        <w:tc>
          <w:tcPr>
            <w:tcW w:w="147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rPr>
                <w:rFonts w:cs="Calibri"/>
                <w:color w:val="000000"/>
              </w:rPr>
            </w:pPr>
            <w:r>
              <w:rPr>
                <w:rFonts w:cs="Calibri"/>
                <w:color w:val="000000"/>
              </w:rPr>
              <w:t>Dimension</w:t>
            </w:r>
          </w:p>
        </w:tc>
        <w:tc>
          <w:tcPr>
            <w:tcW w:w="3872" w:type="dxa"/>
            <w:tcBorders>
              <w:top w:val="nil"/>
              <w:left w:val="nil"/>
              <w:bottom w:val="single" w:color="auto" w:sz="4" w:space="0"/>
              <w:right w:val="single" w:color="auto" w:sz="4" w:space="0"/>
            </w:tcBorders>
            <w:shd w:val="clear" w:color="auto" w:fill="auto"/>
            <w:vAlign w:val="center"/>
          </w:tcPr>
          <w:p>
            <w:pPr>
              <w:spacing w:after="0" w:line="240" w:lineRule="auto"/>
              <w:rPr>
                <w:rFonts w:cs="Calibri"/>
                <w:color w:val="000000"/>
              </w:rPr>
            </w:pPr>
            <w:r>
              <w:rPr>
                <w:rFonts w:cs="Calibri"/>
                <w:color w:val="000000"/>
              </w:rPr>
              <w:t>0.5U (Occupies 1generic slots)</w:t>
            </w:r>
          </w:p>
        </w:tc>
        <w:tc>
          <w:tcPr>
            <w:tcW w:w="3828" w:type="dxa"/>
            <w:tcBorders>
              <w:top w:val="nil"/>
              <w:left w:val="nil"/>
              <w:bottom w:val="single" w:color="auto" w:sz="4" w:space="0"/>
              <w:right w:val="single" w:color="auto" w:sz="4" w:space="0"/>
            </w:tcBorders>
            <w:shd w:val="clear" w:color="auto" w:fill="auto"/>
            <w:vAlign w:val="center"/>
          </w:tcPr>
          <w:p>
            <w:pPr>
              <w:spacing w:after="0" w:line="240" w:lineRule="auto"/>
              <w:rPr>
                <w:rFonts w:cs="Calibri"/>
                <w:color w:val="000000"/>
              </w:rPr>
            </w:pPr>
            <w:r>
              <w:rPr>
                <w:rFonts w:cs="Calibri"/>
                <w:color w:val="000000"/>
              </w:rPr>
              <w:t>0.5U (Occupies 1generic slots)</w:t>
            </w:r>
          </w:p>
        </w:tc>
      </w:tr>
      <w:tr>
        <w:tblPrEx>
          <w:tblLayout w:type="fixed"/>
          <w:tblCellMar>
            <w:top w:w="0" w:type="dxa"/>
            <w:left w:w="108" w:type="dxa"/>
            <w:bottom w:w="0" w:type="dxa"/>
            <w:right w:w="108" w:type="dxa"/>
          </w:tblCellMar>
        </w:tblPrEx>
        <w:trPr>
          <w:trHeight w:val="474" w:hRule="atLeast"/>
        </w:trPr>
        <w:tc>
          <w:tcPr>
            <w:tcW w:w="147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rPr>
                <w:rFonts w:cs="Calibri"/>
                <w:color w:val="000000"/>
              </w:rPr>
            </w:pPr>
            <w:r>
              <w:rPr>
                <w:rFonts w:cs="Calibri"/>
                <w:color w:val="000000"/>
              </w:rPr>
              <w:t>Weight</w:t>
            </w:r>
          </w:p>
        </w:tc>
        <w:tc>
          <w:tcPr>
            <w:tcW w:w="3872" w:type="dxa"/>
            <w:tcBorders>
              <w:top w:val="nil"/>
              <w:left w:val="nil"/>
              <w:bottom w:val="single" w:color="auto" w:sz="4" w:space="0"/>
              <w:right w:val="single" w:color="auto" w:sz="4" w:space="0"/>
            </w:tcBorders>
            <w:shd w:val="clear" w:color="auto" w:fill="auto"/>
            <w:vAlign w:val="center"/>
          </w:tcPr>
          <w:p>
            <w:pPr>
              <w:spacing w:after="0" w:line="240" w:lineRule="auto"/>
              <w:rPr>
                <w:rFonts w:cs="Calibri"/>
                <w:color w:val="000000"/>
              </w:rPr>
            </w:pPr>
            <w:r>
              <w:rPr>
                <w:rFonts w:cs="Calibri"/>
                <w:color w:val="000000"/>
              </w:rPr>
              <w:t>0.8kg</w:t>
            </w:r>
          </w:p>
        </w:tc>
        <w:tc>
          <w:tcPr>
            <w:tcW w:w="3828" w:type="dxa"/>
            <w:tcBorders>
              <w:top w:val="nil"/>
              <w:left w:val="nil"/>
              <w:bottom w:val="single" w:color="auto" w:sz="4" w:space="0"/>
              <w:right w:val="single" w:color="auto" w:sz="4" w:space="0"/>
            </w:tcBorders>
            <w:shd w:val="clear" w:color="auto" w:fill="auto"/>
            <w:vAlign w:val="center"/>
          </w:tcPr>
          <w:p>
            <w:pPr>
              <w:spacing w:after="0" w:line="240" w:lineRule="auto"/>
              <w:rPr>
                <w:rFonts w:cs="Calibri"/>
                <w:color w:val="000000"/>
              </w:rPr>
            </w:pPr>
            <w:r>
              <w:rPr>
                <w:rFonts w:cs="Calibri"/>
                <w:color w:val="000000"/>
              </w:rPr>
              <w:t>0.9kg</w:t>
            </w:r>
          </w:p>
        </w:tc>
      </w:tr>
    </w:tbl>
    <w:p>
      <w:pPr>
        <w:pStyle w:val="24"/>
        <w:numPr>
          <w:ilvl w:val="0"/>
          <w:numId w:val="0"/>
        </w:numPr>
        <w:tabs>
          <w:tab w:val="clear" w:pos="420"/>
        </w:tabs>
        <w:ind w:leftChars="0"/>
      </w:pPr>
    </w:p>
    <w:p>
      <w:pPr>
        <w:pStyle w:val="24"/>
        <w:numPr>
          <w:ilvl w:val="0"/>
          <w:numId w:val="0"/>
        </w:numPr>
        <w:tabs>
          <w:tab w:val="clear" w:pos="420"/>
        </w:tabs>
        <w:ind w:leftChars="0"/>
      </w:pPr>
    </w:p>
    <w:p>
      <w:pPr>
        <w:pStyle w:val="24"/>
        <w:numPr>
          <w:ilvl w:val="0"/>
          <w:numId w:val="0"/>
        </w:numPr>
        <w:tabs>
          <w:tab w:val="clear" w:pos="420"/>
        </w:tabs>
        <w:ind w:leftChars="0"/>
      </w:pPr>
    </w:p>
    <w:p>
      <w:pPr>
        <w:pStyle w:val="24"/>
        <w:numPr>
          <w:ilvl w:val="0"/>
          <w:numId w:val="0"/>
        </w:numPr>
        <w:tabs>
          <w:tab w:val="clear" w:pos="420"/>
        </w:tabs>
        <w:ind w:leftChars="0"/>
      </w:pPr>
    </w:p>
    <w:p>
      <w:pPr>
        <w:pStyle w:val="24"/>
        <w:numPr>
          <w:ilvl w:val="0"/>
          <w:numId w:val="0"/>
        </w:numPr>
        <w:tabs>
          <w:tab w:val="clear" w:pos="420"/>
        </w:tabs>
        <w:ind w:leftChars="0"/>
      </w:pPr>
    </w:p>
    <w:p>
      <w:pPr>
        <w:pStyle w:val="24"/>
        <w:numPr>
          <w:ilvl w:val="0"/>
          <w:numId w:val="0"/>
        </w:numPr>
        <w:tabs>
          <w:tab w:val="clear" w:pos="420"/>
        </w:tabs>
        <w:ind w:leftChars="0"/>
      </w:pPr>
    </w:p>
    <w:p>
      <w:pPr>
        <w:pStyle w:val="24"/>
        <w:numPr>
          <w:ilvl w:val="0"/>
          <w:numId w:val="0"/>
        </w:numPr>
        <w:tabs>
          <w:tab w:val="clear" w:pos="420"/>
        </w:tabs>
        <w:ind w:leftChars="0"/>
      </w:pPr>
    </w:p>
    <w:p>
      <w:pPr>
        <w:pStyle w:val="24"/>
        <w:numPr>
          <w:ilvl w:val="0"/>
          <w:numId w:val="0"/>
        </w:numPr>
        <w:tabs>
          <w:tab w:val="clear" w:pos="420"/>
        </w:tabs>
        <w:ind w:leftChars="0"/>
      </w:pPr>
    </w:p>
    <w:p>
      <w:pPr>
        <w:pStyle w:val="24"/>
        <w:numPr>
          <w:ilvl w:val="0"/>
          <w:numId w:val="0"/>
        </w:numPr>
        <w:tabs>
          <w:tab w:val="clear" w:pos="420"/>
        </w:tabs>
        <w:ind w:leftChars="0"/>
      </w:pPr>
    </w:p>
    <w:p>
      <w:pPr>
        <w:pStyle w:val="24"/>
        <w:numPr>
          <w:ilvl w:val="0"/>
          <w:numId w:val="0"/>
        </w:numPr>
        <w:tabs>
          <w:tab w:val="clear" w:pos="420"/>
        </w:tabs>
        <w:ind w:leftChars="0"/>
      </w:pPr>
    </w:p>
    <w:p>
      <w:pPr>
        <w:pStyle w:val="24"/>
        <w:numPr>
          <w:ilvl w:val="0"/>
          <w:numId w:val="0"/>
        </w:numPr>
        <w:tabs>
          <w:tab w:val="clear" w:pos="420"/>
        </w:tabs>
        <w:ind w:leftChars="0"/>
      </w:pPr>
    </w:p>
    <w:p>
      <w:pPr>
        <w:pStyle w:val="24"/>
      </w:pPr>
      <w:r>
        <w:rPr>
          <w:rFonts w:hint="eastAsia"/>
        </w:rPr>
        <w:t>Highlights</w:t>
      </w:r>
    </w:p>
    <w:p>
      <w:pPr>
        <w:pStyle w:val="18"/>
      </w:pPr>
      <w:r>
        <w:t>Secure Networking</w:t>
      </w:r>
    </w:p>
    <w:p>
      <w:pPr>
        <w:pStyle w:val="13"/>
      </w:pPr>
      <w:r>
        <w:t>Small Today’s network security threats have evolved into highly sophisticated assaults using multiple attack vectors to penetrate networks and steal valuable information. Small and medium enterprises and remote branch offices of larger enterprises face these attacks while storing and transferring increasing amounts of sensitive data across their networks. To ensure the security of this sensitive data, legislation such as PCI, HIPAA, Sarbanes-Oxley, and others have warranted the implementation of security measures</w:t>
      </w:r>
    </w:p>
    <w:p>
      <w:pPr>
        <w:pStyle w:val="18"/>
      </w:pPr>
      <w:r>
        <w:t>The Needs of Small and Medium Enterprise and Branch Offices</w:t>
      </w:r>
    </w:p>
    <w:p>
      <w:pPr>
        <w:pStyle w:val="13"/>
      </w:pPr>
      <w:r>
        <w:t>In order to comply with legislation and secure the valuable data traversing networks, small and medium enterprises and remote branch offices need a security solution that integrates multiple attack recognition technologies into a single device. With limited budgets and modest remote resources, these smaller networks desire a cost effective solution that is simple to install, connect and maintain. Just as importantly, networks are ever-expanding and need a solution that leaves them with room to grow over time.</w:t>
      </w:r>
    </w:p>
    <w:p>
      <w:pPr>
        <w:pStyle w:val="18"/>
      </w:pPr>
      <w:r>
        <w:t>Simple, Powerful, Secure</w:t>
      </w:r>
    </w:p>
    <w:p>
      <w:pPr>
        <w:pStyle w:val="13"/>
      </w:pPr>
      <w:r>
        <w:t>ZXSEC US</w:t>
      </w:r>
      <w:r>
        <w:rPr>
          <w:rFonts w:hint="eastAsia"/>
        </w:rPr>
        <w:t xml:space="preserve"> </w:t>
      </w:r>
      <w:r>
        <w:t>are ideal security solution for small and medium enterprise or remote branch office networks, because they combine firewall, IPSec and SSL VPN, intrusion prevention, antivirus, antimalware, anti</w:t>
      </w:r>
      <w:r>
        <w:rPr>
          <w:rFonts w:hint="eastAsia"/>
        </w:rPr>
        <w:t xml:space="preserve"> </w:t>
      </w:r>
      <w:r>
        <w:t xml:space="preserve">spam, P2P security, and web filtering to identify numerous types of threats from a single device. ZXSEC US installs in minutes, automatically downloading regular updates to protect against the latest viruses, network vulnerabilities, worms, spam and phishing attacks, and nefarious websites with no administrator intervention. Leveraging patented ASIC acceleration, ZXSEC US offers market leading performance, with ten ports that facilitate network growth and expansion. </w:t>
      </w:r>
    </w:p>
    <w:p>
      <w:pPr>
        <w:pStyle w:val="13"/>
      </w:pPr>
    </w:p>
    <w:p>
      <w:pPr>
        <w:pStyle w:val="24"/>
        <w:numPr>
          <w:ilvl w:val="0"/>
          <w:numId w:val="8"/>
        </w:numPr>
      </w:pPr>
      <w:r>
        <w:t>Functions Feature Specifications</w:t>
      </w:r>
    </w:p>
    <w:p>
      <w:pPr>
        <w:spacing w:after="0" w:line="240" w:lineRule="auto"/>
        <w:jc w:val="left"/>
        <w:rPr>
          <w:rFonts w:cs="Calibri"/>
          <w:b/>
          <w:color w:val="000000"/>
          <w:sz w:val="20"/>
          <w:szCs w:val="20"/>
        </w:rPr>
        <w:sectPr>
          <w:headerReference r:id="rId4" w:type="first"/>
          <w:footerReference r:id="rId6" w:type="first"/>
          <w:headerReference r:id="rId3" w:type="default"/>
          <w:footerReference r:id="rId5" w:type="default"/>
          <w:pgSz w:w="12240" w:h="15840"/>
          <w:pgMar w:top="2652" w:right="1797" w:bottom="1440" w:left="1797" w:header="720" w:footer="720" w:gutter="0"/>
          <w:cols w:space="720" w:num="1"/>
          <w:titlePg/>
        </w:sectPr>
      </w:pPr>
    </w:p>
    <w:p>
      <w:pPr>
        <w:tabs>
          <w:tab w:val="left" w:pos="2977"/>
          <w:tab w:val="left" w:pos="5812"/>
        </w:tabs>
        <w:spacing w:before="60" w:after="60" w:line="240" w:lineRule="auto"/>
        <w:jc w:val="left"/>
        <w:outlineLvl w:val="0"/>
        <w:rPr>
          <w:rFonts w:cs="Calibri"/>
          <w:b/>
          <w:color w:val="000000"/>
          <w:sz w:val="20"/>
          <w:szCs w:val="20"/>
        </w:rPr>
      </w:pPr>
      <w:r>
        <w:rPr>
          <w:rFonts w:cs="Calibri"/>
          <w:b/>
          <w:color w:val="000000"/>
          <w:sz w:val="20"/>
          <w:szCs w:val="20"/>
        </w:rPr>
        <w:t>FIREWALL</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Network Services</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Dynamic routing (OSPF, BGP, RIPv2)</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Static and Policy routing</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Route controlled by application</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Built-in DHCP, NTP, DNS Server and DNS proxy</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Tap mode – connect to SPAN port</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IPv6 Support: Mgt. over IPv6, IPv6 routing protocols, IPv6 tunneling, IPv6 logging and HA</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Interface modes: sniffer, port aggregated, loopback, VLANS (802.1Q and Trunking)</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L2/L3 switching &amp; routing</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Virtual wire (Layer 1) transparent inline deployment</w:t>
      </w:r>
    </w:p>
    <w:p>
      <w:pPr>
        <w:tabs>
          <w:tab w:val="left" w:pos="2977"/>
          <w:tab w:val="left" w:pos="5812"/>
        </w:tabs>
        <w:spacing w:before="60" w:after="60" w:line="240" w:lineRule="auto"/>
        <w:jc w:val="left"/>
        <w:outlineLvl w:val="0"/>
        <w:rPr>
          <w:rFonts w:cs="Calibri"/>
          <w:b/>
          <w:color w:val="000000"/>
          <w:sz w:val="20"/>
          <w:szCs w:val="20"/>
        </w:rPr>
      </w:pPr>
    </w:p>
    <w:p>
      <w:pPr>
        <w:tabs>
          <w:tab w:val="left" w:pos="2977"/>
          <w:tab w:val="left" w:pos="5812"/>
        </w:tabs>
        <w:spacing w:before="60" w:after="60" w:line="240" w:lineRule="auto"/>
        <w:jc w:val="left"/>
        <w:outlineLvl w:val="0"/>
        <w:rPr>
          <w:rFonts w:cs="Calibri"/>
          <w:b/>
          <w:color w:val="000000"/>
          <w:sz w:val="20"/>
          <w:szCs w:val="20"/>
        </w:rPr>
      </w:pPr>
      <w:r>
        <w:rPr>
          <w:rFonts w:cs="Calibri"/>
          <w:b/>
          <w:color w:val="000000"/>
          <w:sz w:val="20"/>
          <w:szCs w:val="20"/>
        </w:rPr>
        <w:t>Firewall</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Operating modes: NAT/route, transparent (bridge), and mixed mode</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Policy objects: predefined, custom, and object grouping</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Application Level Gateways and session support: MSRCP, PPTP, RAS, RSH, SIP, FTP, TFTP, HTTP, dcerpc, dns-tcp, dns-udp, H.245 0, H.245 1, H.323</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NAT support: NAT46, NAT64, NAT444, SNAT, DNAT, PAT, Full Cone NAT, STUN</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NAT configuration: per policy and central NAT table</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VoIP: SIP/H.323/SCCP NAT traversal, RTP pin holing</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Global policy management view</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Schedules: one-time and recurring</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QoS Traffic Shaping:</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Max/guaranteed bandwidth tunnels or IP/user basis</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Tunnel allocation based on security domain, interface, address, user/user group, server/server group, application/app group, TOS, VLAN</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Bandwidth allocated by time, priority, or equal bandwidth sharing</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Type of Service (TOS) and Differentiated Services (DiffServ) support</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Prioritized allocation of remaining bandwidth</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Maximum concurrent connections per IP</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Virtual Firewall: Up to 250 vSYS load balanced firewalls</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Load balancing:</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Weighted hashing, weighted least-connection, and weighted round-robin</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Session protection, session persistence and session status monitoring</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Bidirectional link load balancing</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Outbound link load balancing includes policy based routing, ECMP and weighted, embedded ISP routing and dynamic detection</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Inbound link load balancing supports SmartDNS and dynamic detection</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Automatic link switching based on bandwidth and latency</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Link health inspection with ARP, PING, and DNS</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Access control based on IP address geolocation</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Repetitive and redundant firewall rule inspection</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Security for file transmission based on name, size or type</w:t>
      </w:r>
    </w:p>
    <w:p>
      <w:pPr>
        <w:tabs>
          <w:tab w:val="left" w:pos="2977"/>
          <w:tab w:val="left" w:pos="5812"/>
        </w:tabs>
        <w:spacing w:before="60" w:after="60" w:line="240" w:lineRule="auto"/>
        <w:jc w:val="left"/>
        <w:outlineLvl w:val="0"/>
        <w:rPr>
          <w:rFonts w:cs="Calibri"/>
          <w:b/>
          <w:color w:val="000000"/>
          <w:sz w:val="20"/>
          <w:szCs w:val="20"/>
        </w:rPr>
      </w:pPr>
    </w:p>
    <w:p>
      <w:pPr>
        <w:tabs>
          <w:tab w:val="left" w:pos="2977"/>
          <w:tab w:val="left" w:pos="5812"/>
        </w:tabs>
        <w:spacing w:before="60" w:after="60" w:line="240" w:lineRule="auto"/>
        <w:jc w:val="left"/>
        <w:outlineLvl w:val="0"/>
        <w:rPr>
          <w:rFonts w:cs="Calibri"/>
          <w:b/>
          <w:color w:val="000000"/>
          <w:sz w:val="20"/>
          <w:szCs w:val="20"/>
        </w:rPr>
      </w:pPr>
      <w:r>
        <w:rPr>
          <w:rFonts w:cs="Calibri"/>
          <w:b/>
          <w:color w:val="000000"/>
          <w:sz w:val="20"/>
          <w:szCs w:val="20"/>
        </w:rPr>
        <w:t>VPN</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IPSec VPN:</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IPSEC Phase 1 mode: aggressive and main ID protection mode</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Peer acceptance options: any ID, specific ID, ID in dialup user group</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Supports IKEv1 and IKEv2 (RFC 4306)</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Authentication method: certificate and pre-shared key</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IKE mode configuration support (as server or client)</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DHCP over IPSEC</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Configurable IKE encryption key expiry, NAT traversal keep alive frequency</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Phase 1/Phase 2 Proposal encryption: DES, 3DES, AES128, AES192, AES256</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Phase 1/Phase 2 Proposal authentication: MD5, SHA1, SHA256, SHA384, SHA512</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Phase 1/Phase 2 Diffie-Hellman support: 1,2,5</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XAuth as server mode and for dialup users</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Dead peer detection</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Replay detection</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Autokey keep-alive for Phase 2 SA</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IPSEC VPN realm support: allows multiple custom SSL VPN logins associated with user groups (URL paths, design)</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IPSEC VPN configuration options: route-based or policy based</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IPSEC VPN deployment modes: gateway-to-gateway, full mesh, hub-and-spoke, redundant tunnel, VPN termination in transparent mode</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One time login prevents concurrent logins with the same username</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SSL portal concurrent users limiting</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SSL VPN port forwarding module encrypts client data and sends the data to the application server</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Supports clients that run iOS, Android, and Windows XP/Vista including 64-bit Windows OS</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Host integrity checking and OS checking prior to SSL tunnel connections</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MAC host check per portal</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Cache cleaning option prior to ending SSL VPN session</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L2TP client and server mode, L2TP over IPSEC, and GRE over IPSEC</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View and manage IPSEC and SSL VPN connections</w:t>
      </w:r>
    </w:p>
    <w:p>
      <w:pPr>
        <w:tabs>
          <w:tab w:val="left" w:pos="2977"/>
          <w:tab w:val="left" w:pos="5812"/>
        </w:tabs>
        <w:spacing w:before="60" w:after="60" w:line="240" w:lineRule="auto"/>
        <w:jc w:val="left"/>
        <w:outlineLvl w:val="0"/>
        <w:rPr>
          <w:rFonts w:cs="Calibri"/>
          <w:b/>
          <w:color w:val="000000"/>
          <w:sz w:val="20"/>
          <w:szCs w:val="20"/>
        </w:rPr>
      </w:pPr>
      <w:r>
        <w:rPr>
          <w:rFonts w:cs="Calibri"/>
          <w:b/>
          <w:color w:val="000000"/>
          <w:sz w:val="20"/>
          <w:szCs w:val="20"/>
        </w:rPr>
        <w:t>User and Device Identity</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Local user database</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Remote user authentication: TACACS+, LDAP, Radius, Active Directory</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Single-sign-on: Windows AD</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2-factor authentication: 3rd party support, integrated token server with physical and SMS User and device-based policies</w:t>
      </w:r>
    </w:p>
    <w:p>
      <w:pPr>
        <w:tabs>
          <w:tab w:val="left" w:pos="2977"/>
          <w:tab w:val="left" w:pos="5812"/>
        </w:tabs>
        <w:spacing w:before="60" w:after="60" w:line="240" w:lineRule="auto"/>
        <w:jc w:val="left"/>
        <w:outlineLvl w:val="0"/>
        <w:rPr>
          <w:rFonts w:cs="Calibri"/>
          <w:b/>
          <w:color w:val="000000"/>
          <w:sz w:val="20"/>
          <w:szCs w:val="20"/>
        </w:rPr>
      </w:pPr>
    </w:p>
    <w:p>
      <w:pPr>
        <w:tabs>
          <w:tab w:val="left" w:pos="2977"/>
          <w:tab w:val="left" w:pos="5812"/>
        </w:tabs>
        <w:spacing w:before="60" w:after="60" w:line="240" w:lineRule="auto"/>
        <w:jc w:val="left"/>
        <w:outlineLvl w:val="0"/>
        <w:rPr>
          <w:rFonts w:cs="Calibri"/>
          <w:b/>
          <w:color w:val="000000"/>
          <w:sz w:val="20"/>
          <w:szCs w:val="20"/>
        </w:rPr>
      </w:pPr>
      <w:r>
        <w:rPr>
          <w:rFonts w:cs="Calibri"/>
          <w:b/>
          <w:color w:val="000000"/>
          <w:sz w:val="20"/>
          <w:szCs w:val="20"/>
        </w:rPr>
        <w:t>IPS</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7,000+ signatures, protocol anomaly detection, rate-based detection, custom signatures, manual, automatic push or pull signature updates, integrated threat encyclopedia</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IPS Actions: default, monitor, block, reset (attackers IP or victim IP, incoming interface) with expiry time</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Packet logging option</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Filter Based Selection: severity, target, OS, application or protocol</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IP exemption from specific IPS signatures</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IDS sniffer mode</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IPv4 and IPv6 rate based DoS protection with threshold settings against TCP Syn flood, TCP/UDP/SCTP port scan, ICMP sweep, TCP/UDP/SCIP/ICMP session flooding (source/destination)</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Active bypass with bypass interfaces</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Predefined prevention configuration</w:t>
      </w:r>
    </w:p>
    <w:p>
      <w:pPr>
        <w:tabs>
          <w:tab w:val="left" w:pos="2977"/>
          <w:tab w:val="left" w:pos="5812"/>
        </w:tabs>
        <w:spacing w:before="60" w:after="60" w:line="240" w:lineRule="auto"/>
        <w:jc w:val="left"/>
        <w:outlineLvl w:val="0"/>
        <w:rPr>
          <w:rFonts w:cs="Calibri"/>
          <w:b/>
          <w:color w:val="000000"/>
          <w:sz w:val="20"/>
          <w:szCs w:val="20"/>
        </w:rPr>
      </w:pPr>
    </w:p>
    <w:p>
      <w:pPr>
        <w:tabs>
          <w:tab w:val="left" w:pos="2977"/>
          <w:tab w:val="left" w:pos="5812"/>
        </w:tabs>
        <w:spacing w:before="60" w:after="60" w:line="240" w:lineRule="auto"/>
        <w:jc w:val="left"/>
        <w:outlineLvl w:val="0"/>
        <w:rPr>
          <w:rFonts w:cs="Calibri"/>
          <w:b/>
          <w:color w:val="000000"/>
          <w:sz w:val="20"/>
          <w:szCs w:val="20"/>
        </w:rPr>
      </w:pPr>
      <w:r>
        <w:rPr>
          <w:rFonts w:cs="Calibri"/>
          <w:b/>
          <w:color w:val="000000"/>
          <w:sz w:val="20"/>
          <w:szCs w:val="20"/>
        </w:rPr>
        <w:t>Threat Protection</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Over 1.3 million AV signatures</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Botnet server IP blocking with global IP reputation database</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Flow-based Antivirus: protocols include HTTP, SMTP, POP3, IMAP, and FTP/SFTP</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Flow-based web filtering inspection</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Manually defined web filtering based on URL, web content and MIME header</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Dynamic web filtering with cloud-based real-time categorization database: over 140 million URLs with 64 categories (8 of which are security related)</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Additional web filtering features:</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Filter Java Applet, ActiveX or cookie</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Block HTTP Post</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Log search keywords</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Exempt scanning encrypted connections on certain categories for privacy</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Web filtering profile override: allows administrator to temporarily assign different profiles to user/group/IP</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Web filter local categories and category rating override</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Proxy avoidance prevention: proxy site category blocking, rate URLs by domain and IP address, block redirects from cache &amp; translation sites, proxy avoidance application blocking, proxy behavior blocking (IPS)</w:t>
      </w:r>
    </w:p>
    <w:p>
      <w:pPr>
        <w:tabs>
          <w:tab w:val="left" w:pos="2977"/>
          <w:tab w:val="left" w:pos="5812"/>
        </w:tabs>
        <w:spacing w:before="60" w:after="60" w:line="240" w:lineRule="auto"/>
        <w:jc w:val="left"/>
        <w:outlineLvl w:val="0"/>
        <w:rPr>
          <w:rFonts w:cs="Calibri"/>
          <w:b/>
          <w:color w:val="000000"/>
          <w:sz w:val="20"/>
          <w:szCs w:val="20"/>
        </w:rPr>
      </w:pPr>
    </w:p>
    <w:p>
      <w:pPr>
        <w:tabs>
          <w:tab w:val="left" w:pos="2977"/>
          <w:tab w:val="left" w:pos="5812"/>
        </w:tabs>
        <w:spacing w:before="60" w:after="60" w:line="240" w:lineRule="auto"/>
        <w:jc w:val="left"/>
        <w:outlineLvl w:val="0"/>
        <w:rPr>
          <w:rFonts w:cs="Calibri"/>
          <w:b/>
          <w:color w:val="000000"/>
          <w:sz w:val="20"/>
          <w:szCs w:val="20"/>
        </w:rPr>
      </w:pPr>
      <w:r>
        <w:rPr>
          <w:rFonts w:cs="Calibri"/>
          <w:b/>
          <w:color w:val="000000"/>
          <w:sz w:val="20"/>
          <w:szCs w:val="20"/>
        </w:rPr>
        <w:t>Application Control</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 xml:space="preserve">Over 3,000 applications that can be filtered by name, category, subcategory, technology and risk </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 xml:space="preserve">Each application contains a description, risk factors, dependencies, typical ports used, and URLs for additional reference  </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 xml:space="preserve">Actions: block, reset session, monitor, traffic shaping </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 xml:space="preserve">Identify and control applications in the cloud </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Provide multi-dimensional monitoring and statistics for applications running in the cloud, including risk category and characteristics</w:t>
      </w:r>
    </w:p>
    <w:p>
      <w:pPr>
        <w:tabs>
          <w:tab w:val="left" w:pos="2977"/>
          <w:tab w:val="left" w:pos="5812"/>
        </w:tabs>
        <w:spacing w:before="60" w:after="60" w:line="240" w:lineRule="auto"/>
        <w:jc w:val="left"/>
        <w:outlineLvl w:val="0"/>
        <w:rPr>
          <w:rFonts w:cs="Calibri"/>
          <w:b/>
          <w:color w:val="000000"/>
          <w:sz w:val="20"/>
          <w:szCs w:val="20"/>
        </w:rPr>
      </w:pPr>
    </w:p>
    <w:p>
      <w:pPr>
        <w:tabs>
          <w:tab w:val="left" w:pos="2977"/>
          <w:tab w:val="left" w:pos="5812"/>
        </w:tabs>
        <w:spacing w:before="60" w:after="60" w:line="240" w:lineRule="auto"/>
        <w:jc w:val="left"/>
        <w:outlineLvl w:val="0"/>
        <w:rPr>
          <w:rFonts w:cs="Calibri"/>
          <w:b/>
          <w:color w:val="000000"/>
          <w:sz w:val="20"/>
          <w:szCs w:val="20"/>
        </w:rPr>
      </w:pPr>
    </w:p>
    <w:p>
      <w:pPr>
        <w:tabs>
          <w:tab w:val="left" w:pos="2977"/>
          <w:tab w:val="left" w:pos="5812"/>
        </w:tabs>
        <w:spacing w:before="60" w:after="60" w:line="240" w:lineRule="auto"/>
        <w:jc w:val="left"/>
        <w:outlineLvl w:val="0"/>
        <w:rPr>
          <w:rFonts w:cs="Calibri"/>
          <w:b/>
          <w:color w:val="000000"/>
          <w:sz w:val="20"/>
          <w:szCs w:val="20"/>
        </w:rPr>
      </w:pPr>
      <w:r>
        <w:rPr>
          <w:rFonts w:cs="Calibri"/>
          <w:b/>
          <w:color w:val="000000"/>
          <w:sz w:val="20"/>
          <w:szCs w:val="20"/>
        </w:rPr>
        <w:t>High Availability</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 xml:space="preserve">Redundant heartbeat interfaces </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 xml:space="preserve">Active/Active and Active/Passive </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 xml:space="preserve">Standalone session synchronization </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 xml:space="preserve">HA reserved management interface </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 xml:space="preserve">Failover: </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 xml:space="preserve">Port, local &amp; remote link monitoring </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 xml:space="preserve">Stateful failover </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 xml:space="preserve">Sub-second failover </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 xml:space="preserve">Failure notification </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 xml:space="preserve">Deployment Options: </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 xml:space="preserve">HA with link aggregation </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 xml:space="preserve"> Full mesh HA </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 xml:space="preserve">Geographically dispersed HA </w:t>
      </w:r>
    </w:p>
    <w:p>
      <w:pPr>
        <w:tabs>
          <w:tab w:val="left" w:pos="2977"/>
          <w:tab w:val="left" w:pos="5812"/>
        </w:tabs>
        <w:spacing w:before="60" w:after="60" w:line="240" w:lineRule="auto"/>
        <w:jc w:val="left"/>
        <w:outlineLvl w:val="0"/>
        <w:rPr>
          <w:rFonts w:cs="Calibri"/>
          <w:b/>
          <w:color w:val="000000"/>
          <w:sz w:val="20"/>
          <w:szCs w:val="20"/>
        </w:rPr>
      </w:pPr>
    </w:p>
    <w:p>
      <w:pPr>
        <w:tabs>
          <w:tab w:val="left" w:pos="2977"/>
          <w:tab w:val="left" w:pos="5812"/>
        </w:tabs>
        <w:spacing w:before="60" w:after="60" w:line="240" w:lineRule="auto"/>
        <w:jc w:val="left"/>
        <w:outlineLvl w:val="0"/>
        <w:rPr>
          <w:rFonts w:cs="Calibri"/>
          <w:b/>
          <w:color w:val="000000"/>
          <w:sz w:val="20"/>
          <w:szCs w:val="20"/>
        </w:rPr>
      </w:pPr>
      <w:r>
        <w:rPr>
          <w:rFonts w:cs="Calibri"/>
          <w:b/>
          <w:color w:val="000000"/>
          <w:sz w:val="20"/>
          <w:szCs w:val="20"/>
        </w:rPr>
        <w:t>Administration</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 xml:space="preserve">Management access: HTTP/HTTPS, SSH, telnet, console </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 xml:space="preserve">web service APIs </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 xml:space="preserve">System Integration: SNMP, syslog, alliance partnerships </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 xml:space="preserve">Rapid deployment: USB auto-install, local and remote script execution </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 xml:space="preserve">Dynamic real-time dashboard status and drill-in monitoring widgets </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 xml:space="preserve">Language support: English </w:t>
      </w:r>
    </w:p>
    <w:p>
      <w:pPr>
        <w:tabs>
          <w:tab w:val="left" w:pos="2977"/>
          <w:tab w:val="left" w:pos="5812"/>
        </w:tabs>
        <w:spacing w:before="60" w:after="60" w:line="240" w:lineRule="auto"/>
        <w:jc w:val="left"/>
        <w:outlineLvl w:val="0"/>
        <w:rPr>
          <w:rFonts w:cs="Calibri"/>
          <w:b/>
          <w:color w:val="000000"/>
          <w:sz w:val="20"/>
          <w:szCs w:val="20"/>
        </w:rPr>
      </w:pPr>
    </w:p>
    <w:p>
      <w:pPr>
        <w:tabs>
          <w:tab w:val="left" w:pos="2977"/>
          <w:tab w:val="left" w:pos="5812"/>
        </w:tabs>
        <w:spacing w:before="60" w:after="60" w:line="240" w:lineRule="auto"/>
        <w:jc w:val="left"/>
        <w:outlineLvl w:val="0"/>
        <w:rPr>
          <w:rFonts w:cs="Calibri"/>
          <w:b/>
          <w:color w:val="000000"/>
          <w:sz w:val="20"/>
          <w:szCs w:val="20"/>
        </w:rPr>
      </w:pPr>
      <w:r>
        <w:rPr>
          <w:rFonts w:cs="Calibri"/>
          <w:b/>
          <w:color w:val="000000"/>
          <w:sz w:val="20"/>
          <w:szCs w:val="20"/>
        </w:rPr>
        <w:t>Logs &amp; Reporting</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 xml:space="preserve">Logging facilities: local memory and storage (if available), multiple syslog servers and </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 xml:space="preserve">Encrypted logging and log batch log uploading </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 xml:space="preserve">Reliable logging using TCP option (RFC 3195) </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 xml:space="preserve">Detailed traffic logs: forwarded, violated sessions, local traffic, invalid packets </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 xml:space="preserve">Comprehensive event logs: system and administrative activity audits, routing &amp; networking, VPN, user authentications, WiFi related events </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 xml:space="preserve">IP and service port name resolution option </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 xml:space="preserve">Brief traffic log format option </w:t>
      </w:r>
    </w:p>
    <w:p>
      <w:pPr>
        <w:tabs>
          <w:tab w:val="left" w:pos="2977"/>
          <w:tab w:val="left" w:pos="5812"/>
        </w:tabs>
        <w:spacing w:before="60" w:after="60" w:line="240" w:lineRule="auto"/>
        <w:jc w:val="left"/>
        <w:outlineLvl w:val="0"/>
        <w:rPr>
          <w:rFonts w:cs="Calibri"/>
          <w:b/>
          <w:color w:val="000000"/>
          <w:sz w:val="20"/>
          <w:szCs w:val="20"/>
        </w:rPr>
      </w:pPr>
    </w:p>
    <w:p>
      <w:pPr>
        <w:tabs>
          <w:tab w:val="left" w:pos="2977"/>
          <w:tab w:val="left" w:pos="5812"/>
        </w:tabs>
        <w:spacing w:before="60" w:after="60" w:line="240" w:lineRule="auto"/>
        <w:jc w:val="left"/>
        <w:outlineLvl w:val="0"/>
        <w:rPr>
          <w:rFonts w:cs="Calibri"/>
          <w:b/>
          <w:color w:val="000000"/>
          <w:sz w:val="20"/>
          <w:szCs w:val="20"/>
        </w:rPr>
      </w:pPr>
      <w:r>
        <w:rPr>
          <w:rFonts w:cs="Calibri"/>
          <w:b/>
          <w:color w:val="000000"/>
          <w:sz w:val="20"/>
          <w:szCs w:val="20"/>
        </w:rPr>
        <w:t>SSL Decryption</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 xml:space="preserve">Inspect SSL encryption traffic </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 xml:space="preserve">Supports IPS enablement for SSL encrypted traffic </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 xml:space="preserve">Supports AV enablement for SSL encrypted traffic </w:t>
      </w:r>
    </w:p>
    <w:p>
      <w:pPr>
        <w:tabs>
          <w:tab w:val="left" w:pos="2977"/>
          <w:tab w:val="left" w:pos="5812"/>
        </w:tabs>
        <w:spacing w:before="60" w:after="60" w:line="240" w:lineRule="auto"/>
        <w:jc w:val="left"/>
        <w:outlineLvl w:val="0"/>
        <w:rPr>
          <w:rFonts w:cs="Calibri"/>
          <w:color w:val="000000"/>
          <w:sz w:val="20"/>
          <w:szCs w:val="20"/>
        </w:rPr>
      </w:pPr>
      <w:r>
        <w:rPr>
          <w:rFonts w:cs="Calibri"/>
          <w:color w:val="000000"/>
          <w:sz w:val="20"/>
          <w:szCs w:val="20"/>
        </w:rPr>
        <w:t>Support URL filter for https encrypted traffic</w:t>
      </w:r>
    </w:p>
    <w:p>
      <w:pPr>
        <w:tabs>
          <w:tab w:val="left" w:pos="2977"/>
          <w:tab w:val="left" w:pos="5812"/>
        </w:tabs>
        <w:spacing w:before="60" w:after="60" w:line="240" w:lineRule="auto"/>
        <w:outlineLvl w:val="0"/>
        <w:rPr>
          <w:rFonts w:cs="Calibri"/>
          <w:b/>
          <w:color w:val="000000"/>
          <w:sz w:val="20"/>
          <w:szCs w:val="20"/>
        </w:rPr>
      </w:pPr>
    </w:p>
    <w:p>
      <w:pPr>
        <w:pStyle w:val="18"/>
        <w:numPr>
          <w:ilvl w:val="0"/>
          <w:numId w:val="0"/>
        </w:numPr>
        <w:sectPr>
          <w:footerReference r:id="rId9" w:type="first"/>
          <w:headerReference r:id="rId7" w:type="default"/>
          <w:footerReference r:id="rId8" w:type="default"/>
          <w:type w:val="continuous"/>
          <w:pgSz w:w="12240" w:h="15840"/>
          <w:pgMar w:top="3402" w:right="1797" w:bottom="1440" w:left="1797" w:header="680" w:footer="720" w:gutter="0"/>
          <w:cols w:space="425" w:num="3"/>
          <w:titlePg/>
          <w:docGrid w:linePitch="360" w:charSpace="0"/>
        </w:sectPr>
      </w:pPr>
      <w:r>
        <w:t xml:space="preserve">           </w:t>
      </w:r>
      <w:r>
        <w:rPr>
          <w:rFonts w:hint="eastAsia"/>
        </w:rPr>
        <w:t xml:space="preserve">   </w:t>
      </w:r>
    </w:p>
    <w:p>
      <w:pPr>
        <w:rPr>
          <w:lang w:val="pt-BR"/>
        </w:rPr>
      </w:pPr>
      <w:r>
        <w:rPr>
          <w:lang w:val="pt-BR"/>
        </w:rPr>
        <w:drawing>
          <wp:anchor distT="0" distB="0" distL="114300" distR="114300" simplePos="0" relativeHeight="251665408" behindDoc="1" locked="0" layoutInCell="1" allowOverlap="1">
            <wp:simplePos x="0" y="0"/>
            <wp:positionH relativeFrom="margin">
              <wp:posOffset>-1132205</wp:posOffset>
            </wp:positionH>
            <wp:positionV relativeFrom="margin">
              <wp:posOffset>-182245</wp:posOffset>
            </wp:positionV>
            <wp:extent cx="7753350" cy="8048625"/>
            <wp:effectExtent l="19050" t="0" r="0" b="0"/>
            <wp:wrapNone/>
            <wp:docPr id="7" name="图片 264" descr="中兴通讯（售前文档）统一样式模板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4" descr="中兴通讯（售前文档）统一样式模板_V1"/>
                    <pic:cNvPicPr>
                      <a:picLocks noChangeAspect="1" noChangeArrowheads="1"/>
                    </pic:cNvPicPr>
                  </pic:nvPicPr>
                  <pic:blipFill>
                    <a:blip r:embed="rId16" cstate="print"/>
                    <a:stretch>
                      <a:fillRect/>
                    </a:stretch>
                  </pic:blipFill>
                  <pic:spPr>
                    <a:xfrm>
                      <a:off x="0" y="0"/>
                      <a:ext cx="7753350" cy="8049985"/>
                    </a:xfrm>
                    <a:prstGeom prst="rect">
                      <a:avLst/>
                    </a:prstGeom>
                    <a:noFill/>
                    <a:ln w="9525">
                      <a:noFill/>
                      <a:miter lim="800000"/>
                      <a:headEnd/>
                      <a:tailEnd/>
                    </a:ln>
                  </pic:spPr>
                </pic:pic>
              </a:graphicData>
            </a:graphic>
          </wp:anchor>
        </w:drawing>
      </w:r>
    </w:p>
    <w:p>
      <w:pPr>
        <w:rPr>
          <w:lang w:val="pt-BR"/>
        </w:rPr>
      </w:pPr>
    </w:p>
    <w:p>
      <w:pPr>
        <w:rPr>
          <w:lang w:val="pt-BR"/>
        </w:rPr>
      </w:pPr>
    </w:p>
    <w:p>
      <w:pPr>
        <w:rPr>
          <w:lang w:val="pt-BR"/>
        </w:rPr>
      </w:pPr>
    </w:p>
    <w:p>
      <w:pPr>
        <w:rPr>
          <w:lang w:val="pt-BR"/>
        </w:rPr>
      </w:pPr>
    </w:p>
    <w:p>
      <w:pPr>
        <w:rPr>
          <w:lang w:val="pt-BR"/>
        </w:rPr>
      </w:pPr>
    </w:p>
    <w:p>
      <w:pPr>
        <w:rPr>
          <w:lang w:val="pt-BR"/>
        </w:rPr>
      </w:pPr>
    </w:p>
    <w:p>
      <w:pPr>
        <w:rPr>
          <w:lang w:val="pt-BR"/>
        </w:rPr>
      </w:pPr>
    </w:p>
    <w:p>
      <w:pPr>
        <w:rPr>
          <w:lang w:val="pt-BR"/>
        </w:rPr>
      </w:pPr>
    </w:p>
    <w:p>
      <w:pPr>
        <w:rPr>
          <w:lang w:val="pt-BR"/>
        </w:rPr>
      </w:pPr>
    </w:p>
    <w:p>
      <w:pPr>
        <w:rPr>
          <w:lang w:val="pt-BR"/>
        </w:rPr>
      </w:pPr>
    </w:p>
    <w:p>
      <w:pPr>
        <w:rPr>
          <w:lang w:val="pt-BR"/>
        </w:rPr>
      </w:pPr>
    </w:p>
    <w:p>
      <w:pPr>
        <w:spacing w:after="0" w:line="240" w:lineRule="auto"/>
        <w:jc w:val="left"/>
        <w:outlineLvl w:val="0"/>
        <w:rPr>
          <w:rFonts w:ascii="Myriad Pro" w:hAnsi="Myriad Pro"/>
          <w:sz w:val="18"/>
          <w:szCs w:val="18"/>
        </w:rPr>
      </w:pPr>
      <w:r>
        <w:rPr>
          <w:rFonts w:ascii="Myriad Pro" w:hAnsi="Myriad Pro"/>
          <w:sz w:val="18"/>
          <w:szCs w:val="18"/>
        </w:rPr>
        <w:t>NO.</w:t>
      </w:r>
      <w:r>
        <w:rPr>
          <w:rFonts w:hint="eastAsia" w:ascii="Myriad Pro" w:hAnsi="Myriad Pro"/>
          <w:sz w:val="18"/>
          <w:szCs w:val="18"/>
        </w:rPr>
        <w:t xml:space="preserve"> </w:t>
      </w:r>
      <w:r>
        <w:rPr>
          <w:rFonts w:ascii="Myriad Pro" w:hAnsi="Myriad Pro"/>
          <w:sz w:val="18"/>
          <w:szCs w:val="18"/>
        </w:rPr>
        <w:t>55,</w:t>
      </w:r>
      <w:r>
        <w:rPr>
          <w:rFonts w:hint="eastAsia" w:ascii="Myriad Pro" w:hAnsi="Myriad Pro"/>
          <w:sz w:val="18"/>
          <w:szCs w:val="18"/>
        </w:rPr>
        <w:t xml:space="preserve"> </w:t>
      </w:r>
      <w:r>
        <w:rPr>
          <w:rFonts w:ascii="Myriad Pro" w:hAnsi="Myriad Pro"/>
          <w:sz w:val="18"/>
          <w:szCs w:val="18"/>
        </w:rPr>
        <w:t>Hi-tech Road South,ShenZhen,P.</w:t>
      </w:r>
      <w:r>
        <w:rPr>
          <w:rFonts w:hint="eastAsia" w:ascii="Myriad Pro" w:hAnsi="Myriad Pro"/>
          <w:sz w:val="18"/>
          <w:szCs w:val="18"/>
        </w:rPr>
        <w:t xml:space="preserve"> </w:t>
      </w:r>
      <w:r>
        <w:rPr>
          <w:rFonts w:ascii="Myriad Pro" w:hAnsi="Myriad Pro"/>
          <w:sz w:val="18"/>
          <w:szCs w:val="18"/>
        </w:rPr>
        <w:t>R.</w:t>
      </w:r>
      <w:r>
        <w:rPr>
          <w:rFonts w:hint="eastAsia" w:ascii="Myriad Pro" w:hAnsi="Myriad Pro"/>
          <w:sz w:val="18"/>
          <w:szCs w:val="18"/>
        </w:rPr>
        <w:t xml:space="preserve"> </w:t>
      </w:r>
      <w:r>
        <w:rPr>
          <w:rFonts w:ascii="Myriad Pro" w:hAnsi="Myriad Pro"/>
          <w:sz w:val="18"/>
          <w:szCs w:val="18"/>
        </w:rPr>
        <w:t>China</w:t>
      </w:r>
    </w:p>
    <w:p>
      <w:pPr>
        <w:spacing w:after="0" w:line="240" w:lineRule="auto"/>
        <w:jc w:val="left"/>
        <w:rPr>
          <w:rFonts w:ascii="Myriad Pro" w:hAnsi="Myriad Pro"/>
          <w:sz w:val="18"/>
          <w:szCs w:val="18"/>
        </w:rPr>
      </w:pPr>
      <w:r>
        <w:rPr>
          <w:rFonts w:ascii="Myriad Pro" w:hAnsi="Myriad Pro"/>
          <w:sz w:val="18"/>
          <w:szCs w:val="18"/>
        </w:rPr>
        <w:t>Postcode:</w:t>
      </w:r>
      <w:r>
        <w:rPr>
          <w:rFonts w:hint="eastAsia" w:ascii="Myriad Pro" w:hAnsi="Myriad Pro"/>
          <w:sz w:val="18"/>
          <w:szCs w:val="18"/>
        </w:rPr>
        <w:t xml:space="preserve"> </w:t>
      </w:r>
      <w:r>
        <w:rPr>
          <w:rFonts w:ascii="Myriad Pro" w:hAnsi="Myriad Pro"/>
          <w:sz w:val="18"/>
          <w:szCs w:val="18"/>
        </w:rPr>
        <w:t>518057</w:t>
      </w:r>
    </w:p>
    <w:p>
      <w:pPr>
        <w:spacing w:after="0" w:line="240" w:lineRule="auto"/>
        <w:jc w:val="left"/>
        <w:rPr>
          <w:rFonts w:ascii="Myriad Pro" w:hAnsi="Myriad Pro"/>
          <w:sz w:val="18"/>
          <w:szCs w:val="18"/>
        </w:rPr>
      </w:pPr>
      <w:r>
        <w:rPr>
          <w:rFonts w:ascii="Myriad Pro" w:hAnsi="Myriad Pro"/>
          <w:sz w:val="18"/>
          <w:szCs w:val="18"/>
        </w:rPr>
        <w:t>Web:</w:t>
      </w:r>
      <w:r>
        <w:rPr>
          <w:rFonts w:hint="eastAsia" w:ascii="Myriad Pro" w:hAnsi="Myriad Pro"/>
          <w:sz w:val="18"/>
          <w:szCs w:val="18"/>
        </w:rPr>
        <w:t xml:space="preserve"> </w:t>
      </w:r>
      <w:r>
        <w:rPr>
          <w:rFonts w:ascii="Myriad Pro" w:hAnsi="Myriad Pro"/>
          <w:sz w:val="18"/>
          <w:szCs w:val="18"/>
        </w:rPr>
        <w:t>www.zte.com</w:t>
      </w:r>
    </w:p>
    <w:p>
      <w:pPr>
        <w:spacing w:after="0" w:line="240" w:lineRule="auto"/>
        <w:jc w:val="left"/>
        <w:rPr>
          <w:rFonts w:ascii="Myriad Pro" w:hAnsi="Myriad Pro"/>
          <w:sz w:val="18"/>
          <w:szCs w:val="18"/>
        </w:rPr>
      </w:pPr>
      <w:r>
        <w:rPr>
          <w:rFonts w:ascii="Myriad Pro" w:hAnsi="Myriad Pro"/>
          <w:sz w:val="18"/>
          <w:szCs w:val="18"/>
        </w:rPr>
        <w:t>Tel:</w:t>
      </w:r>
      <w:r>
        <w:rPr>
          <w:rFonts w:hint="eastAsia" w:ascii="Myriad Pro" w:hAnsi="Myriad Pro"/>
          <w:sz w:val="18"/>
          <w:szCs w:val="18"/>
        </w:rPr>
        <w:t xml:space="preserve"> </w:t>
      </w:r>
      <w:r>
        <w:rPr>
          <w:rFonts w:ascii="Myriad Pro" w:hAnsi="Myriad Pro"/>
          <w:sz w:val="18"/>
          <w:szCs w:val="18"/>
        </w:rPr>
        <w:t>+86-755-26770000</w:t>
      </w:r>
    </w:p>
    <w:p>
      <w:pPr>
        <w:spacing w:after="0" w:line="240" w:lineRule="auto"/>
        <w:jc w:val="left"/>
        <w:rPr>
          <w:lang w:val="pt-BR"/>
        </w:rPr>
      </w:pPr>
      <w:r>
        <w:rPr>
          <w:rFonts w:ascii="Myriad Pro" w:hAnsi="Myriad Pro"/>
          <w:sz w:val="18"/>
          <w:szCs w:val="18"/>
        </w:rPr>
        <w:t>Fax:</w:t>
      </w:r>
      <w:r>
        <w:rPr>
          <w:rFonts w:hint="eastAsia" w:ascii="Myriad Pro" w:hAnsi="Myriad Pro"/>
          <w:sz w:val="18"/>
          <w:szCs w:val="18"/>
        </w:rPr>
        <w:t xml:space="preserve"> </w:t>
      </w:r>
      <w:r>
        <w:rPr>
          <w:rFonts w:ascii="Myriad Pro" w:hAnsi="Myriad Pro"/>
          <w:sz w:val="18"/>
          <w:szCs w:val="18"/>
        </w:rPr>
        <w:t>+86-755-26771999</w:t>
      </w:r>
    </w:p>
    <w:sectPr>
      <w:pgSz w:w="12240" w:h="15840"/>
      <w:pgMar w:top="3402" w:right="1797" w:bottom="1134" w:left="1797" w:header="680" w:footer="720" w:gutter="0"/>
      <w:cols w:space="720"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altName w:val="仿宋"/>
    <w:panose1 w:val="02010600040101010101"/>
    <w:charset w:val="86"/>
    <w:family w:val="auto"/>
    <w:pitch w:val="default"/>
    <w:sig w:usb0="00000000" w:usb1="00000000" w:usb2="00000010" w:usb3="00000000" w:csb0="000400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华文细黑">
    <w:altName w:val="微软雅黑"/>
    <w:panose1 w:val="02010600040101010101"/>
    <w:charset w:val="86"/>
    <w:family w:val="auto"/>
    <w:pitch w:val="default"/>
    <w:sig w:usb0="00000000" w:usb1="00000000" w:usb2="00000010" w:usb3="00000000" w:csb0="0004009F" w:csb1="00000000"/>
  </w:font>
  <w:font w:name="Myriad Pro">
    <w:altName w:val="Arial"/>
    <w:panose1 w:val="00000000000000000000"/>
    <w:charset w:val="00"/>
    <w:family w:val="swiss"/>
    <w:pitch w:val="default"/>
    <w:sig w:usb0="00000000" w:usb1="00000000" w:usb2="00000000" w:usb3="00000000" w:csb0="0000019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lang w:val="en-US" w:eastAsia="zh-CN"/>
      </w:rPr>
      <w:t xml:space="preserve">                                                                                                                                                                      </w:t>
    </w:r>
    <w:r>
      <w:drawing>
        <wp:inline distT="0" distB="0" distL="0" distR="0">
          <wp:extent cx="1095375" cy="647700"/>
          <wp:effectExtent l="0" t="0" r="0" b="0"/>
          <wp:docPr id="5" name="图片 4" descr="ZTE标准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ZTE标准LOGO-01.png"/>
                  <pic:cNvPicPr>
                    <a:picLocks noChangeAspect="1" noChangeArrowheads="1"/>
                  </pic:cNvPicPr>
                </pic:nvPicPr>
                <pic:blipFill>
                  <a:blip r:embed="rId1"/>
                  <a:srcRect/>
                  <a:stretch>
                    <a:fillRect/>
                  </a:stretch>
                </pic:blipFill>
                <pic:spPr>
                  <a:xfrm>
                    <a:off x="0" y="0"/>
                    <a:ext cx="1095375" cy="64770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lang w:val="en-US" w:eastAsia="zh-CN"/>
      </w:rPr>
      <w:t xml:space="preserve">                                                                                                                                                                          </w:t>
    </w:r>
    <w:r>
      <w:drawing>
        <wp:inline distT="0" distB="0" distL="0" distR="0">
          <wp:extent cx="1095375" cy="647700"/>
          <wp:effectExtent l="0" t="0" r="0" b="0"/>
          <wp:docPr id="1" name="图片 4" descr="ZTE标准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ZTE标准LOGO-01.png"/>
                  <pic:cNvPicPr>
                    <a:picLocks noChangeAspect="1" noChangeArrowheads="1"/>
                  </pic:cNvPicPr>
                </pic:nvPicPr>
                <pic:blipFill>
                  <a:blip r:embed="rId1"/>
                  <a:srcRect/>
                  <a:stretch>
                    <a:fillRect/>
                  </a:stretch>
                </pic:blipFill>
                <pic:spPr>
                  <a:xfrm>
                    <a:off x="0" y="0"/>
                    <a:ext cx="1095375" cy="64770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646"/>
      </w:tabs>
      <w:ind w:firstLine="7040" w:firstLineChars="3200"/>
    </w:pPr>
    <w:r>
      <w:drawing>
        <wp:inline distT="0" distB="0" distL="0" distR="0">
          <wp:extent cx="1095375" cy="647700"/>
          <wp:effectExtent l="0" t="0" r="0" b="0"/>
          <wp:docPr id="3" name="图片 4" descr="ZTE标准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ZTE标准LOGO-01.png"/>
                  <pic:cNvPicPr>
                    <a:picLocks noChangeAspect="1" noChangeArrowheads="1"/>
                  </pic:cNvPicPr>
                </pic:nvPicPr>
                <pic:blipFill>
                  <a:blip r:embed="rId1"/>
                  <a:srcRect/>
                  <a:stretch>
                    <a:fillRect/>
                  </a:stretch>
                </pic:blipFill>
                <pic:spPr>
                  <a:xfrm>
                    <a:off x="0" y="0"/>
                    <a:ext cx="1095375" cy="647700"/>
                  </a:xfrm>
                  <a:prstGeom prst="rect">
                    <a:avLst/>
                  </a:prstGeom>
                  <a:noFill/>
                  <a:ln w="9525">
                    <a:noFill/>
                    <a:miter lim="800000"/>
                    <a:headEnd/>
                    <a:tailEnd/>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val="0"/>
      <w:jc w:val="right"/>
    </w:pPr>
    <w:r>
      <w:rPr>
        <w:rFonts w:hint="eastAsia"/>
      </w:rPr>
      <w:t xml:space="preserve">   </w:t>
    </w:r>
    <w:r>
      <w:drawing>
        <wp:inline distT="0" distB="0" distL="0" distR="0">
          <wp:extent cx="1095375" cy="647700"/>
          <wp:effectExtent l="0" t="0" r="0" b="0"/>
          <wp:docPr id="9" name="图片 4" descr="ZTE标准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ZTE标准LOGO-01.png"/>
                  <pic:cNvPicPr>
                    <a:picLocks noChangeAspect="1" noChangeArrowheads="1"/>
                  </pic:cNvPicPr>
                </pic:nvPicPr>
                <pic:blipFill>
                  <a:blip r:embed="rId1"/>
                  <a:srcRect/>
                  <a:stretch>
                    <a:fillRect/>
                  </a:stretch>
                </pic:blipFill>
                <pic:spPr>
                  <a:xfrm>
                    <a:off x="0" y="0"/>
                    <a:ext cx="1095375" cy="647700"/>
                  </a:xfrm>
                  <a:prstGeom prst="rect">
                    <a:avLst/>
                  </a:prstGeom>
                  <a:noFill/>
                  <a:ln w="9525">
                    <a:noFill/>
                    <a:miter lim="800000"/>
                    <a:headEnd/>
                    <a:tailEnd/>
                  </a:ln>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ascii="Arial" w:hAnsi="Arial" w:eastAsia="微软雅黑" w:cs="Arial"/>
        <w:b/>
        <w:color w:val="F79646"/>
        <w:sz w:val="44"/>
        <w:szCs w:val="44"/>
      </w:rPr>
      <w:drawing>
        <wp:anchor distT="0" distB="0" distL="114300" distR="114300" simplePos="0" relativeHeight="251663360" behindDoc="0" locked="0" layoutInCell="1" allowOverlap="1">
          <wp:simplePos x="0" y="0"/>
          <wp:positionH relativeFrom="margin">
            <wp:posOffset>-1196975</wp:posOffset>
          </wp:positionH>
          <wp:positionV relativeFrom="margin">
            <wp:posOffset>-1684020</wp:posOffset>
          </wp:positionV>
          <wp:extent cx="7827645" cy="1499235"/>
          <wp:effectExtent l="0" t="0" r="8255" b="12065"/>
          <wp:wrapThrough wrapText="bothSides">
            <wp:wrapPolygon>
              <wp:start x="0" y="0"/>
              <wp:lineTo x="0" y="21408"/>
              <wp:lineTo x="21553" y="21408"/>
              <wp:lineTo x="21553" y="0"/>
              <wp:lineTo x="0" y="0"/>
            </wp:wrapPolygon>
          </wp:wrapThrough>
          <wp:docPr id="11" name="图片 2" descr="中兴通讯（售前文档）统一样式模板_V1.4_CH-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中兴通讯（售前文档）统一样式模板_V1.4_CH-03.png"/>
                  <pic:cNvPicPr>
                    <a:picLocks noChangeAspect="1"/>
                  </pic:cNvPicPr>
                </pic:nvPicPr>
                <pic:blipFill>
                  <a:blip r:embed="rId1"/>
                  <a:stretch>
                    <a:fillRect/>
                  </a:stretch>
                </pic:blipFill>
                <pic:spPr>
                  <a:xfrm>
                    <a:off x="0" y="0"/>
                    <a:ext cx="7827645" cy="149923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Lines="400" w:after="0" w:line="0" w:lineRule="atLeast"/>
      <w:rPr>
        <w:rFonts w:ascii="Arial" w:hAnsi="Arial" w:eastAsia="微软雅黑" w:cs="Arial"/>
        <w:b/>
        <w:color w:val="F79646"/>
        <w:sz w:val="44"/>
        <w:szCs w:val="44"/>
      </w:rPr>
    </w:pPr>
    <w:r>
      <w:rPr>
        <w:rFonts w:ascii="Arial" w:hAnsi="Arial" w:eastAsia="微软雅黑" w:cs="Arial"/>
        <w:b/>
        <w:color w:val="F79646"/>
        <w:sz w:val="44"/>
        <w:szCs w:val="44"/>
      </w:rPr>
      <w:drawing>
        <wp:anchor distT="0" distB="0" distL="114300" distR="114300" simplePos="0" relativeHeight="251661312" behindDoc="0" locked="0" layoutInCell="1" allowOverlap="1">
          <wp:simplePos x="0" y="0"/>
          <wp:positionH relativeFrom="margin">
            <wp:posOffset>-1196975</wp:posOffset>
          </wp:positionH>
          <wp:positionV relativeFrom="margin">
            <wp:posOffset>-2160270</wp:posOffset>
          </wp:positionV>
          <wp:extent cx="7827645" cy="1499235"/>
          <wp:effectExtent l="0" t="0" r="8255" b="12065"/>
          <wp:wrapThrough wrapText="bothSides">
            <wp:wrapPolygon>
              <wp:start x="0" y="0"/>
              <wp:lineTo x="0" y="21408"/>
              <wp:lineTo x="21553" y="21408"/>
              <wp:lineTo x="21553" y="0"/>
              <wp:lineTo x="0" y="0"/>
            </wp:wrapPolygon>
          </wp:wrapThrough>
          <wp:docPr id="10" name="图片 2" descr="中兴通讯（售前文档）统一样式模板_V1.4_CH-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中兴通讯（售前文档）统一样式模板_V1.4_CH-03.png"/>
                  <pic:cNvPicPr>
                    <a:picLocks noChangeAspect="1"/>
                  </pic:cNvPicPr>
                </pic:nvPicPr>
                <pic:blipFill>
                  <a:blip r:embed="rId1"/>
                  <a:stretch>
                    <a:fillRect/>
                  </a:stretch>
                </pic:blipFill>
                <pic:spPr>
                  <a:xfrm>
                    <a:off x="0" y="0"/>
                    <a:ext cx="7827645" cy="149923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803A9"/>
    <w:multiLevelType w:val="multilevel"/>
    <w:tmpl w:val="0B3803A9"/>
    <w:lvl w:ilvl="0" w:tentative="0">
      <w:start w:val="1"/>
      <w:numFmt w:val="decimal"/>
      <w:pStyle w:val="30"/>
      <w:lvlText w:val="Table%1"/>
      <w:lvlJc w:val="center"/>
      <w:pPr>
        <w:tabs>
          <w:tab w:val="left" w:pos="1701"/>
        </w:tabs>
        <w:ind w:left="1701" w:hanging="340"/>
      </w:pPr>
      <w:rPr>
        <w:rFonts w:hint="default" w:ascii="Arial" w:hAnsi="Arial" w:eastAsia="微软雅黑"/>
        <w:b w:val="0"/>
        <w:i w:val="0"/>
        <w:sz w:val="18"/>
        <w:szCs w:val="2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E644F69"/>
    <w:multiLevelType w:val="multilevel"/>
    <w:tmpl w:val="0E644F69"/>
    <w:lvl w:ilvl="0" w:tentative="0">
      <w:start w:val="1"/>
      <w:numFmt w:val="decimal"/>
      <w:pStyle w:val="26"/>
      <w:lvlText w:val="表%1"/>
      <w:lvlJc w:val="center"/>
      <w:pPr>
        <w:tabs>
          <w:tab w:val="left" w:pos="1701"/>
        </w:tabs>
        <w:ind w:left="1701" w:hanging="340"/>
      </w:pPr>
      <w:rPr>
        <w:rFonts w:hint="default" w:ascii="Arial" w:hAnsi="Arial" w:eastAsia="微软雅黑"/>
        <w:b w:val="0"/>
        <w:i w:val="0"/>
        <w:sz w:val="18"/>
        <w:szCs w:val="2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1FAF256C"/>
    <w:multiLevelType w:val="multilevel"/>
    <w:tmpl w:val="1FAF256C"/>
    <w:lvl w:ilvl="0" w:tentative="0">
      <w:start w:val="1"/>
      <w:numFmt w:val="bullet"/>
      <w:pStyle w:val="24"/>
      <w:lvlText w:val=""/>
      <w:lvlJc w:val="left"/>
      <w:pPr>
        <w:tabs>
          <w:tab w:val="left" w:pos="420"/>
        </w:tabs>
        <w:ind w:left="420" w:hanging="420"/>
      </w:pPr>
      <w:rPr>
        <w:rFonts w:hint="default" w:ascii="Wingdings" w:hAnsi="Wingdings"/>
        <w:b/>
        <w:i w:val="0"/>
        <w:color w:val="0087E2"/>
        <w:sz w:val="28"/>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2615380D"/>
    <w:multiLevelType w:val="multilevel"/>
    <w:tmpl w:val="2615380D"/>
    <w:lvl w:ilvl="0" w:tentative="0">
      <w:start w:val="1"/>
      <w:numFmt w:val="decimal"/>
      <w:pStyle w:val="31"/>
      <w:lvlText w:val="figure%1"/>
      <w:lvlJc w:val="center"/>
      <w:pPr>
        <w:tabs>
          <w:tab w:val="left" w:pos="1701"/>
        </w:tabs>
        <w:ind w:left="1701" w:hanging="340"/>
      </w:pPr>
      <w:rPr>
        <w:rFonts w:hint="default" w:ascii="Arial" w:hAnsi="Arial" w:eastAsia="微软雅黑"/>
        <w:b w:val="0"/>
        <w:i w:val="0"/>
        <w:sz w:val="18"/>
        <w:szCs w:val="2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4A1846E0"/>
    <w:multiLevelType w:val="multilevel"/>
    <w:tmpl w:val="4A1846E0"/>
    <w:lvl w:ilvl="0" w:tentative="0">
      <w:start w:val="1"/>
      <w:numFmt w:val="bullet"/>
      <w:pStyle w:val="18"/>
      <w:lvlText w:val="■"/>
      <w:lvlJc w:val="left"/>
      <w:pPr>
        <w:tabs>
          <w:tab w:val="left" w:pos="0"/>
        </w:tabs>
        <w:ind w:left="420" w:firstLine="0"/>
      </w:pPr>
      <w:rPr>
        <w:rFonts w:hint="default" w:ascii="Arial" w:hAnsi="Arial" w:eastAsia="宋体"/>
        <w:b/>
        <w:i w:val="0"/>
        <w:color w:val="0087E2"/>
        <w:sz w:val="28"/>
      </w:rPr>
    </w:lvl>
    <w:lvl w:ilvl="1" w:tentative="0">
      <w:start w:val="1"/>
      <w:numFmt w:val="bullet"/>
      <w:lvlText w:val=""/>
      <w:lvlJc w:val="left"/>
      <w:pPr>
        <w:tabs>
          <w:tab w:val="left" w:pos="1040"/>
        </w:tabs>
        <w:ind w:left="1040" w:hanging="420"/>
      </w:pPr>
      <w:rPr>
        <w:rFonts w:hint="default" w:ascii="Wingdings" w:hAnsi="Wingdings"/>
      </w:rPr>
    </w:lvl>
    <w:lvl w:ilvl="2" w:tentative="0">
      <w:start w:val="1"/>
      <w:numFmt w:val="bullet"/>
      <w:lvlText w:val=""/>
      <w:lvlJc w:val="left"/>
      <w:pPr>
        <w:tabs>
          <w:tab w:val="left" w:pos="1460"/>
        </w:tabs>
        <w:ind w:left="1460" w:hanging="420"/>
      </w:pPr>
      <w:rPr>
        <w:rFonts w:hint="default" w:ascii="Wingdings" w:hAnsi="Wingdings"/>
      </w:rPr>
    </w:lvl>
    <w:lvl w:ilvl="3" w:tentative="0">
      <w:start w:val="1"/>
      <w:numFmt w:val="bullet"/>
      <w:lvlText w:val=""/>
      <w:lvlJc w:val="left"/>
      <w:pPr>
        <w:tabs>
          <w:tab w:val="left" w:pos="1880"/>
        </w:tabs>
        <w:ind w:left="1880" w:hanging="420"/>
      </w:pPr>
      <w:rPr>
        <w:rFonts w:hint="default" w:ascii="Wingdings" w:hAnsi="Wingdings"/>
      </w:rPr>
    </w:lvl>
    <w:lvl w:ilvl="4" w:tentative="0">
      <w:start w:val="1"/>
      <w:numFmt w:val="bullet"/>
      <w:lvlText w:val=""/>
      <w:lvlJc w:val="left"/>
      <w:pPr>
        <w:tabs>
          <w:tab w:val="left" w:pos="2300"/>
        </w:tabs>
        <w:ind w:left="2300" w:hanging="420"/>
      </w:pPr>
      <w:rPr>
        <w:rFonts w:hint="default" w:ascii="Wingdings" w:hAnsi="Wingdings"/>
      </w:rPr>
    </w:lvl>
    <w:lvl w:ilvl="5" w:tentative="0">
      <w:start w:val="1"/>
      <w:numFmt w:val="bullet"/>
      <w:lvlText w:val=""/>
      <w:lvlJc w:val="left"/>
      <w:pPr>
        <w:tabs>
          <w:tab w:val="left" w:pos="2720"/>
        </w:tabs>
        <w:ind w:left="2720" w:hanging="420"/>
      </w:pPr>
      <w:rPr>
        <w:rFonts w:hint="default" w:ascii="Wingdings" w:hAnsi="Wingdings"/>
      </w:rPr>
    </w:lvl>
    <w:lvl w:ilvl="6" w:tentative="0">
      <w:start w:val="1"/>
      <w:numFmt w:val="bullet"/>
      <w:lvlText w:val=""/>
      <w:lvlJc w:val="left"/>
      <w:pPr>
        <w:tabs>
          <w:tab w:val="left" w:pos="3140"/>
        </w:tabs>
        <w:ind w:left="3140" w:hanging="420"/>
      </w:pPr>
      <w:rPr>
        <w:rFonts w:hint="default" w:ascii="Wingdings" w:hAnsi="Wingdings"/>
      </w:rPr>
    </w:lvl>
    <w:lvl w:ilvl="7" w:tentative="0">
      <w:start w:val="1"/>
      <w:numFmt w:val="bullet"/>
      <w:lvlText w:val=""/>
      <w:lvlJc w:val="left"/>
      <w:pPr>
        <w:tabs>
          <w:tab w:val="left" w:pos="3560"/>
        </w:tabs>
        <w:ind w:left="3560" w:hanging="420"/>
      </w:pPr>
      <w:rPr>
        <w:rFonts w:hint="default" w:ascii="Wingdings" w:hAnsi="Wingdings"/>
      </w:rPr>
    </w:lvl>
    <w:lvl w:ilvl="8" w:tentative="0">
      <w:start w:val="1"/>
      <w:numFmt w:val="bullet"/>
      <w:lvlText w:val=""/>
      <w:lvlJc w:val="left"/>
      <w:pPr>
        <w:tabs>
          <w:tab w:val="left" w:pos="3980"/>
        </w:tabs>
        <w:ind w:left="3980" w:hanging="420"/>
      </w:pPr>
      <w:rPr>
        <w:rFonts w:hint="default" w:ascii="Wingdings" w:hAnsi="Wingdings"/>
      </w:rPr>
    </w:lvl>
  </w:abstractNum>
  <w:abstractNum w:abstractNumId="5">
    <w:nsid w:val="6C8E40A0"/>
    <w:multiLevelType w:val="multilevel"/>
    <w:tmpl w:val="6C8E40A0"/>
    <w:lvl w:ilvl="0" w:tentative="0">
      <w:start w:val="1"/>
      <w:numFmt w:val="decimal"/>
      <w:pStyle w:val="15"/>
      <w:lvlText w:val="%1."/>
      <w:lvlJc w:val="left"/>
      <w:pPr>
        <w:tabs>
          <w:tab w:val="left" w:pos="420"/>
        </w:tabs>
        <w:ind w:left="420" w:hanging="420"/>
      </w:pPr>
      <w:rPr>
        <w:rFonts w:hint="default" w:ascii="Arial" w:hAnsi="Arial" w:eastAsia="宋体"/>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7FBB6BBD"/>
    <w:multiLevelType w:val="multilevel"/>
    <w:tmpl w:val="7FBB6BBD"/>
    <w:lvl w:ilvl="0" w:tentative="0">
      <w:start w:val="1"/>
      <w:numFmt w:val="decimal"/>
      <w:pStyle w:val="27"/>
      <w:lvlText w:val="图%1"/>
      <w:lvlJc w:val="center"/>
      <w:pPr>
        <w:tabs>
          <w:tab w:val="left" w:pos="1701"/>
        </w:tabs>
        <w:ind w:left="1701" w:hanging="340"/>
      </w:pPr>
      <w:rPr>
        <w:rFonts w:hint="default" w:ascii="Arial" w:hAnsi="Arial" w:eastAsia="微软雅黑"/>
        <w:b w:val="0"/>
        <w:i w:val="0"/>
        <w:sz w:val="18"/>
        <w:szCs w:val="2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4"/>
  </w:num>
  <w:num w:numId="3">
    <w:abstractNumId w:val="2"/>
  </w:num>
  <w:num w:numId="4">
    <w:abstractNumId w:val="1"/>
  </w:num>
  <w:num w:numId="5">
    <w:abstractNumId w:val="6"/>
  </w:num>
  <w:num w:numId="6">
    <w:abstractNumId w:val="0"/>
  </w:num>
  <w:num w:numId="7">
    <w:abstractNumId w:val="3"/>
  </w:num>
  <w:num w:numId="8">
    <w:abstractNumId w:val="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attachedTemplate r:id="rId1"/>
  <w:documentProtection w:enforcement="0"/>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DA45E4"/>
    <w:rsid w:val="000016A3"/>
    <w:rsid w:val="00001A20"/>
    <w:rsid w:val="000036BC"/>
    <w:rsid w:val="000103B2"/>
    <w:rsid w:val="00010CCF"/>
    <w:rsid w:val="0001321A"/>
    <w:rsid w:val="00020306"/>
    <w:rsid w:val="00020703"/>
    <w:rsid w:val="000251E9"/>
    <w:rsid w:val="00025503"/>
    <w:rsid w:val="00027FD0"/>
    <w:rsid w:val="00030DBA"/>
    <w:rsid w:val="0003466A"/>
    <w:rsid w:val="00036AAB"/>
    <w:rsid w:val="00037ED1"/>
    <w:rsid w:val="000408FD"/>
    <w:rsid w:val="000428E0"/>
    <w:rsid w:val="00045FB1"/>
    <w:rsid w:val="00054D12"/>
    <w:rsid w:val="00060173"/>
    <w:rsid w:val="0007100C"/>
    <w:rsid w:val="0007218F"/>
    <w:rsid w:val="00072FDE"/>
    <w:rsid w:val="0007336C"/>
    <w:rsid w:val="00075FAD"/>
    <w:rsid w:val="00085405"/>
    <w:rsid w:val="00090239"/>
    <w:rsid w:val="000926BC"/>
    <w:rsid w:val="00094483"/>
    <w:rsid w:val="00096A66"/>
    <w:rsid w:val="000A0524"/>
    <w:rsid w:val="000A0B3A"/>
    <w:rsid w:val="000A1530"/>
    <w:rsid w:val="000A4F59"/>
    <w:rsid w:val="000B0C37"/>
    <w:rsid w:val="000B4731"/>
    <w:rsid w:val="000B6B6F"/>
    <w:rsid w:val="000C1102"/>
    <w:rsid w:val="000C1498"/>
    <w:rsid w:val="000C268F"/>
    <w:rsid w:val="000C42F2"/>
    <w:rsid w:val="000C63E0"/>
    <w:rsid w:val="000C6C4E"/>
    <w:rsid w:val="000C7FC9"/>
    <w:rsid w:val="000D0CC2"/>
    <w:rsid w:val="000D1830"/>
    <w:rsid w:val="000D39AF"/>
    <w:rsid w:val="000D4C92"/>
    <w:rsid w:val="000D7B1F"/>
    <w:rsid w:val="000E2A72"/>
    <w:rsid w:val="000E3559"/>
    <w:rsid w:val="000E4D98"/>
    <w:rsid w:val="000E6BBC"/>
    <w:rsid w:val="000F3D51"/>
    <w:rsid w:val="000F552E"/>
    <w:rsid w:val="00101A2A"/>
    <w:rsid w:val="0010284F"/>
    <w:rsid w:val="0010547D"/>
    <w:rsid w:val="00105B4C"/>
    <w:rsid w:val="001063E3"/>
    <w:rsid w:val="00106705"/>
    <w:rsid w:val="00113F3D"/>
    <w:rsid w:val="00115B1A"/>
    <w:rsid w:val="0012529D"/>
    <w:rsid w:val="001256B2"/>
    <w:rsid w:val="001323BA"/>
    <w:rsid w:val="00132828"/>
    <w:rsid w:val="0014017B"/>
    <w:rsid w:val="00140DDC"/>
    <w:rsid w:val="00140FDC"/>
    <w:rsid w:val="00143182"/>
    <w:rsid w:val="001461AA"/>
    <w:rsid w:val="00150FD8"/>
    <w:rsid w:val="0015305A"/>
    <w:rsid w:val="00156CA8"/>
    <w:rsid w:val="00157122"/>
    <w:rsid w:val="0015736B"/>
    <w:rsid w:val="00157550"/>
    <w:rsid w:val="00161A79"/>
    <w:rsid w:val="001667AE"/>
    <w:rsid w:val="00167A12"/>
    <w:rsid w:val="00167C9F"/>
    <w:rsid w:val="00171ACA"/>
    <w:rsid w:val="0017488B"/>
    <w:rsid w:val="00181B45"/>
    <w:rsid w:val="00183291"/>
    <w:rsid w:val="0018366E"/>
    <w:rsid w:val="0019340A"/>
    <w:rsid w:val="00195CF5"/>
    <w:rsid w:val="00196130"/>
    <w:rsid w:val="001B2E75"/>
    <w:rsid w:val="001B62B0"/>
    <w:rsid w:val="001B6DB6"/>
    <w:rsid w:val="001C02B0"/>
    <w:rsid w:val="001C3DA7"/>
    <w:rsid w:val="001C64D1"/>
    <w:rsid w:val="001C6723"/>
    <w:rsid w:val="001C7E61"/>
    <w:rsid w:val="001D02A9"/>
    <w:rsid w:val="001D2286"/>
    <w:rsid w:val="001D2E05"/>
    <w:rsid w:val="001D41D8"/>
    <w:rsid w:val="001D5F62"/>
    <w:rsid w:val="001D6E5A"/>
    <w:rsid w:val="001D7BD2"/>
    <w:rsid w:val="001D7F2F"/>
    <w:rsid w:val="001D7FFA"/>
    <w:rsid w:val="001E1890"/>
    <w:rsid w:val="001E2B9B"/>
    <w:rsid w:val="001F0C3D"/>
    <w:rsid w:val="001F15D7"/>
    <w:rsid w:val="001F2CFB"/>
    <w:rsid w:val="001F3516"/>
    <w:rsid w:val="002008F8"/>
    <w:rsid w:val="002029AF"/>
    <w:rsid w:val="00205386"/>
    <w:rsid w:val="002061D2"/>
    <w:rsid w:val="0020749E"/>
    <w:rsid w:val="0020785B"/>
    <w:rsid w:val="00207D45"/>
    <w:rsid w:val="00210957"/>
    <w:rsid w:val="002128E0"/>
    <w:rsid w:val="00215878"/>
    <w:rsid w:val="002169F8"/>
    <w:rsid w:val="00217BAB"/>
    <w:rsid w:val="00222878"/>
    <w:rsid w:val="0022297A"/>
    <w:rsid w:val="0022339E"/>
    <w:rsid w:val="00227B83"/>
    <w:rsid w:val="002303E9"/>
    <w:rsid w:val="00234C0F"/>
    <w:rsid w:val="00235D77"/>
    <w:rsid w:val="002368CD"/>
    <w:rsid w:val="002411A6"/>
    <w:rsid w:val="00242702"/>
    <w:rsid w:val="0025117E"/>
    <w:rsid w:val="002605F7"/>
    <w:rsid w:val="0026605D"/>
    <w:rsid w:val="00267DE4"/>
    <w:rsid w:val="002718D7"/>
    <w:rsid w:val="0027232E"/>
    <w:rsid w:val="00273CE4"/>
    <w:rsid w:val="002812B6"/>
    <w:rsid w:val="00286E1C"/>
    <w:rsid w:val="0028797D"/>
    <w:rsid w:val="00297ADB"/>
    <w:rsid w:val="002A0682"/>
    <w:rsid w:val="002B416F"/>
    <w:rsid w:val="002B5DA0"/>
    <w:rsid w:val="002C4E45"/>
    <w:rsid w:val="002C5827"/>
    <w:rsid w:val="002C6372"/>
    <w:rsid w:val="002C675C"/>
    <w:rsid w:val="002D6654"/>
    <w:rsid w:val="002E328E"/>
    <w:rsid w:val="002E39EB"/>
    <w:rsid w:val="002F0558"/>
    <w:rsid w:val="002F1A72"/>
    <w:rsid w:val="002F3FE3"/>
    <w:rsid w:val="002F648D"/>
    <w:rsid w:val="002F66FD"/>
    <w:rsid w:val="002F6AB3"/>
    <w:rsid w:val="002F7E1E"/>
    <w:rsid w:val="0030446D"/>
    <w:rsid w:val="00305114"/>
    <w:rsid w:val="003063E7"/>
    <w:rsid w:val="0030795C"/>
    <w:rsid w:val="0031154C"/>
    <w:rsid w:val="003210D7"/>
    <w:rsid w:val="00326433"/>
    <w:rsid w:val="0034026C"/>
    <w:rsid w:val="00343067"/>
    <w:rsid w:val="00344B9C"/>
    <w:rsid w:val="00345C3D"/>
    <w:rsid w:val="0034618B"/>
    <w:rsid w:val="00347C2A"/>
    <w:rsid w:val="00354052"/>
    <w:rsid w:val="00355C11"/>
    <w:rsid w:val="00362503"/>
    <w:rsid w:val="003638F2"/>
    <w:rsid w:val="00366A82"/>
    <w:rsid w:val="00367C87"/>
    <w:rsid w:val="00371F51"/>
    <w:rsid w:val="00373925"/>
    <w:rsid w:val="003771FA"/>
    <w:rsid w:val="00383B4D"/>
    <w:rsid w:val="003905E6"/>
    <w:rsid w:val="00390E29"/>
    <w:rsid w:val="00393DA5"/>
    <w:rsid w:val="00395214"/>
    <w:rsid w:val="00396AD9"/>
    <w:rsid w:val="003A0B71"/>
    <w:rsid w:val="003A1021"/>
    <w:rsid w:val="003A39B0"/>
    <w:rsid w:val="003A423D"/>
    <w:rsid w:val="003A4840"/>
    <w:rsid w:val="003A7069"/>
    <w:rsid w:val="003A7CAD"/>
    <w:rsid w:val="003B00B2"/>
    <w:rsid w:val="003B12F7"/>
    <w:rsid w:val="003B2BB9"/>
    <w:rsid w:val="003B50F8"/>
    <w:rsid w:val="003B59D6"/>
    <w:rsid w:val="003B5C9E"/>
    <w:rsid w:val="003C4369"/>
    <w:rsid w:val="003C438B"/>
    <w:rsid w:val="003C4A52"/>
    <w:rsid w:val="003C7523"/>
    <w:rsid w:val="003D21DE"/>
    <w:rsid w:val="003D7462"/>
    <w:rsid w:val="003E0F47"/>
    <w:rsid w:val="003E1584"/>
    <w:rsid w:val="003E31BA"/>
    <w:rsid w:val="003E5112"/>
    <w:rsid w:val="003E6993"/>
    <w:rsid w:val="003F04F7"/>
    <w:rsid w:val="003F05BB"/>
    <w:rsid w:val="003F5ABA"/>
    <w:rsid w:val="004008CA"/>
    <w:rsid w:val="0040495D"/>
    <w:rsid w:val="00405F9A"/>
    <w:rsid w:val="00407692"/>
    <w:rsid w:val="00410338"/>
    <w:rsid w:val="00410B4A"/>
    <w:rsid w:val="00412B07"/>
    <w:rsid w:val="00414066"/>
    <w:rsid w:val="00414622"/>
    <w:rsid w:val="0041609F"/>
    <w:rsid w:val="004170C6"/>
    <w:rsid w:val="004209BC"/>
    <w:rsid w:val="00425BBF"/>
    <w:rsid w:val="00425C8E"/>
    <w:rsid w:val="0042613B"/>
    <w:rsid w:val="0042629F"/>
    <w:rsid w:val="00426F56"/>
    <w:rsid w:val="004302F7"/>
    <w:rsid w:val="00430A21"/>
    <w:rsid w:val="0043110F"/>
    <w:rsid w:val="00431E3E"/>
    <w:rsid w:val="004331B3"/>
    <w:rsid w:val="00440A81"/>
    <w:rsid w:val="0044290E"/>
    <w:rsid w:val="004444C8"/>
    <w:rsid w:val="004467BD"/>
    <w:rsid w:val="00447347"/>
    <w:rsid w:val="004503A7"/>
    <w:rsid w:val="00451602"/>
    <w:rsid w:val="004538B4"/>
    <w:rsid w:val="00453F5E"/>
    <w:rsid w:val="00454205"/>
    <w:rsid w:val="00456620"/>
    <w:rsid w:val="004568F4"/>
    <w:rsid w:val="00461798"/>
    <w:rsid w:val="004637A6"/>
    <w:rsid w:val="00483569"/>
    <w:rsid w:val="00484763"/>
    <w:rsid w:val="00484FB5"/>
    <w:rsid w:val="00494756"/>
    <w:rsid w:val="004B19B3"/>
    <w:rsid w:val="004B4E41"/>
    <w:rsid w:val="004B655E"/>
    <w:rsid w:val="004C47C4"/>
    <w:rsid w:val="004C4C7A"/>
    <w:rsid w:val="004C5B2D"/>
    <w:rsid w:val="004D1AED"/>
    <w:rsid w:val="004E330B"/>
    <w:rsid w:val="004E3EB1"/>
    <w:rsid w:val="004E616A"/>
    <w:rsid w:val="004E7C8C"/>
    <w:rsid w:val="004F64C0"/>
    <w:rsid w:val="00506DDE"/>
    <w:rsid w:val="00516404"/>
    <w:rsid w:val="00532994"/>
    <w:rsid w:val="005338A0"/>
    <w:rsid w:val="005354BD"/>
    <w:rsid w:val="00546673"/>
    <w:rsid w:val="00550E0B"/>
    <w:rsid w:val="005512C7"/>
    <w:rsid w:val="00554FAF"/>
    <w:rsid w:val="005553A3"/>
    <w:rsid w:val="0056033F"/>
    <w:rsid w:val="00560411"/>
    <w:rsid w:val="00560FCF"/>
    <w:rsid w:val="00565C4B"/>
    <w:rsid w:val="00580496"/>
    <w:rsid w:val="00581B4C"/>
    <w:rsid w:val="005828B8"/>
    <w:rsid w:val="00592DA6"/>
    <w:rsid w:val="00593302"/>
    <w:rsid w:val="0059725B"/>
    <w:rsid w:val="005A5D9A"/>
    <w:rsid w:val="005B0F21"/>
    <w:rsid w:val="005B2123"/>
    <w:rsid w:val="005B29B6"/>
    <w:rsid w:val="005B5D8D"/>
    <w:rsid w:val="005B5EED"/>
    <w:rsid w:val="005B6A99"/>
    <w:rsid w:val="005B6AD5"/>
    <w:rsid w:val="005B7D84"/>
    <w:rsid w:val="005B7E79"/>
    <w:rsid w:val="005C2462"/>
    <w:rsid w:val="005C557B"/>
    <w:rsid w:val="005C7156"/>
    <w:rsid w:val="005D2062"/>
    <w:rsid w:val="005D69C8"/>
    <w:rsid w:val="005D728B"/>
    <w:rsid w:val="005E0FD6"/>
    <w:rsid w:val="005E134C"/>
    <w:rsid w:val="005E3A9E"/>
    <w:rsid w:val="005E7AF1"/>
    <w:rsid w:val="005F1619"/>
    <w:rsid w:val="005F34FD"/>
    <w:rsid w:val="005F4516"/>
    <w:rsid w:val="005F690D"/>
    <w:rsid w:val="005F6EB5"/>
    <w:rsid w:val="006028EA"/>
    <w:rsid w:val="00604708"/>
    <w:rsid w:val="00604899"/>
    <w:rsid w:val="0060638D"/>
    <w:rsid w:val="006065C7"/>
    <w:rsid w:val="00616750"/>
    <w:rsid w:val="006167A3"/>
    <w:rsid w:val="00616ECF"/>
    <w:rsid w:val="00636EA8"/>
    <w:rsid w:val="00642DFC"/>
    <w:rsid w:val="006431E9"/>
    <w:rsid w:val="0064775F"/>
    <w:rsid w:val="006477F1"/>
    <w:rsid w:val="00656D2D"/>
    <w:rsid w:val="006618B0"/>
    <w:rsid w:val="0066221B"/>
    <w:rsid w:val="00664465"/>
    <w:rsid w:val="0066628D"/>
    <w:rsid w:val="00675D00"/>
    <w:rsid w:val="00680A9D"/>
    <w:rsid w:val="00681D27"/>
    <w:rsid w:val="006847A3"/>
    <w:rsid w:val="00685656"/>
    <w:rsid w:val="00685C72"/>
    <w:rsid w:val="0069058B"/>
    <w:rsid w:val="00693D08"/>
    <w:rsid w:val="00696B0F"/>
    <w:rsid w:val="0069742C"/>
    <w:rsid w:val="006A08C2"/>
    <w:rsid w:val="006A1A75"/>
    <w:rsid w:val="006A2C85"/>
    <w:rsid w:val="006A2EC6"/>
    <w:rsid w:val="006A6B53"/>
    <w:rsid w:val="006B3F74"/>
    <w:rsid w:val="006C16E4"/>
    <w:rsid w:val="006C3E43"/>
    <w:rsid w:val="006C7677"/>
    <w:rsid w:val="006D4DE5"/>
    <w:rsid w:val="006E10AD"/>
    <w:rsid w:val="006E399E"/>
    <w:rsid w:val="006E3D4B"/>
    <w:rsid w:val="006E5354"/>
    <w:rsid w:val="006E5CB9"/>
    <w:rsid w:val="006E5E16"/>
    <w:rsid w:val="006E66C5"/>
    <w:rsid w:val="006E7701"/>
    <w:rsid w:val="006E780E"/>
    <w:rsid w:val="006F11F2"/>
    <w:rsid w:val="006F672C"/>
    <w:rsid w:val="006F6C62"/>
    <w:rsid w:val="007024FB"/>
    <w:rsid w:val="00706D63"/>
    <w:rsid w:val="00711F98"/>
    <w:rsid w:val="00713D43"/>
    <w:rsid w:val="00713E73"/>
    <w:rsid w:val="007140EA"/>
    <w:rsid w:val="0072295A"/>
    <w:rsid w:val="00726864"/>
    <w:rsid w:val="00727306"/>
    <w:rsid w:val="007278B9"/>
    <w:rsid w:val="00731D29"/>
    <w:rsid w:val="00734275"/>
    <w:rsid w:val="0073588C"/>
    <w:rsid w:val="0073604A"/>
    <w:rsid w:val="00736369"/>
    <w:rsid w:val="007410FB"/>
    <w:rsid w:val="00760997"/>
    <w:rsid w:val="00762CA4"/>
    <w:rsid w:val="00764044"/>
    <w:rsid w:val="0076490F"/>
    <w:rsid w:val="00772641"/>
    <w:rsid w:val="00772CE4"/>
    <w:rsid w:val="00774545"/>
    <w:rsid w:val="00775E2C"/>
    <w:rsid w:val="0077792B"/>
    <w:rsid w:val="007834A6"/>
    <w:rsid w:val="00784927"/>
    <w:rsid w:val="00787062"/>
    <w:rsid w:val="00787D54"/>
    <w:rsid w:val="00791D31"/>
    <w:rsid w:val="0079382F"/>
    <w:rsid w:val="007A32D5"/>
    <w:rsid w:val="007A3B88"/>
    <w:rsid w:val="007B4AB6"/>
    <w:rsid w:val="007B5558"/>
    <w:rsid w:val="007B605D"/>
    <w:rsid w:val="007B6659"/>
    <w:rsid w:val="007C0742"/>
    <w:rsid w:val="007C10A8"/>
    <w:rsid w:val="007C28AE"/>
    <w:rsid w:val="007C723E"/>
    <w:rsid w:val="007D25E0"/>
    <w:rsid w:val="007D32C8"/>
    <w:rsid w:val="007D3FAD"/>
    <w:rsid w:val="007D413F"/>
    <w:rsid w:val="007E1A15"/>
    <w:rsid w:val="007E4A43"/>
    <w:rsid w:val="007E6E6D"/>
    <w:rsid w:val="007F2449"/>
    <w:rsid w:val="007F4655"/>
    <w:rsid w:val="007F7B7A"/>
    <w:rsid w:val="0080356E"/>
    <w:rsid w:val="008061BC"/>
    <w:rsid w:val="008073F9"/>
    <w:rsid w:val="00812EFD"/>
    <w:rsid w:val="008141F0"/>
    <w:rsid w:val="00815351"/>
    <w:rsid w:val="00820683"/>
    <w:rsid w:val="008209CD"/>
    <w:rsid w:val="008213C2"/>
    <w:rsid w:val="00824E8A"/>
    <w:rsid w:val="00825FAE"/>
    <w:rsid w:val="0082635B"/>
    <w:rsid w:val="008323BF"/>
    <w:rsid w:val="00835110"/>
    <w:rsid w:val="008410B7"/>
    <w:rsid w:val="008420E6"/>
    <w:rsid w:val="00842D02"/>
    <w:rsid w:val="0084466F"/>
    <w:rsid w:val="0085063E"/>
    <w:rsid w:val="008522F2"/>
    <w:rsid w:val="00853B79"/>
    <w:rsid w:val="00860F7A"/>
    <w:rsid w:val="00863860"/>
    <w:rsid w:val="0086442F"/>
    <w:rsid w:val="00864773"/>
    <w:rsid w:val="008707B4"/>
    <w:rsid w:val="00871DA8"/>
    <w:rsid w:val="00872AC7"/>
    <w:rsid w:val="008841BE"/>
    <w:rsid w:val="008878C9"/>
    <w:rsid w:val="008A08A1"/>
    <w:rsid w:val="008A311E"/>
    <w:rsid w:val="008A5F00"/>
    <w:rsid w:val="008A60E6"/>
    <w:rsid w:val="008B61A6"/>
    <w:rsid w:val="008B7425"/>
    <w:rsid w:val="008C1A96"/>
    <w:rsid w:val="008D0631"/>
    <w:rsid w:val="008D78B2"/>
    <w:rsid w:val="008E1A48"/>
    <w:rsid w:val="008E306A"/>
    <w:rsid w:val="008E7AF3"/>
    <w:rsid w:val="008F3DEF"/>
    <w:rsid w:val="008F745C"/>
    <w:rsid w:val="009007C6"/>
    <w:rsid w:val="0090102C"/>
    <w:rsid w:val="00902691"/>
    <w:rsid w:val="00903F36"/>
    <w:rsid w:val="009252C0"/>
    <w:rsid w:val="00931595"/>
    <w:rsid w:val="00931CB8"/>
    <w:rsid w:val="00931FB1"/>
    <w:rsid w:val="00933488"/>
    <w:rsid w:val="00933F79"/>
    <w:rsid w:val="00936A2C"/>
    <w:rsid w:val="00937731"/>
    <w:rsid w:val="0094079C"/>
    <w:rsid w:val="00945F42"/>
    <w:rsid w:val="00947AD8"/>
    <w:rsid w:val="00950CC2"/>
    <w:rsid w:val="009545B0"/>
    <w:rsid w:val="00956F12"/>
    <w:rsid w:val="009577E0"/>
    <w:rsid w:val="00962D39"/>
    <w:rsid w:val="00965BEF"/>
    <w:rsid w:val="00966ADB"/>
    <w:rsid w:val="00967817"/>
    <w:rsid w:val="00970CA3"/>
    <w:rsid w:val="00975BF6"/>
    <w:rsid w:val="0098312A"/>
    <w:rsid w:val="0098412F"/>
    <w:rsid w:val="00985FC9"/>
    <w:rsid w:val="00990F9C"/>
    <w:rsid w:val="00991009"/>
    <w:rsid w:val="00991F1E"/>
    <w:rsid w:val="0099209E"/>
    <w:rsid w:val="00996DC9"/>
    <w:rsid w:val="00997897"/>
    <w:rsid w:val="009A3306"/>
    <w:rsid w:val="009A4209"/>
    <w:rsid w:val="009A484F"/>
    <w:rsid w:val="009B1D14"/>
    <w:rsid w:val="009B4D3B"/>
    <w:rsid w:val="009C67C3"/>
    <w:rsid w:val="009D1799"/>
    <w:rsid w:val="009E0717"/>
    <w:rsid w:val="009E11F9"/>
    <w:rsid w:val="009E1BA2"/>
    <w:rsid w:val="009E7589"/>
    <w:rsid w:val="009F0610"/>
    <w:rsid w:val="009F49E1"/>
    <w:rsid w:val="009F4CEB"/>
    <w:rsid w:val="00A0355F"/>
    <w:rsid w:val="00A03881"/>
    <w:rsid w:val="00A11659"/>
    <w:rsid w:val="00A1779B"/>
    <w:rsid w:val="00A17EB4"/>
    <w:rsid w:val="00A213A3"/>
    <w:rsid w:val="00A21C53"/>
    <w:rsid w:val="00A23CAD"/>
    <w:rsid w:val="00A268E0"/>
    <w:rsid w:val="00A32E01"/>
    <w:rsid w:val="00A400D5"/>
    <w:rsid w:val="00A4404B"/>
    <w:rsid w:val="00A452A7"/>
    <w:rsid w:val="00A47449"/>
    <w:rsid w:val="00A50B59"/>
    <w:rsid w:val="00A51375"/>
    <w:rsid w:val="00A5376C"/>
    <w:rsid w:val="00A546FD"/>
    <w:rsid w:val="00A6053D"/>
    <w:rsid w:val="00A62E23"/>
    <w:rsid w:val="00A633E4"/>
    <w:rsid w:val="00A66A0F"/>
    <w:rsid w:val="00A76317"/>
    <w:rsid w:val="00A81B98"/>
    <w:rsid w:val="00A84298"/>
    <w:rsid w:val="00A852C0"/>
    <w:rsid w:val="00A876D7"/>
    <w:rsid w:val="00A92A8C"/>
    <w:rsid w:val="00AA0D86"/>
    <w:rsid w:val="00AA3D2D"/>
    <w:rsid w:val="00AA76BE"/>
    <w:rsid w:val="00AB0730"/>
    <w:rsid w:val="00AB2338"/>
    <w:rsid w:val="00AB2602"/>
    <w:rsid w:val="00AB355A"/>
    <w:rsid w:val="00AC02F7"/>
    <w:rsid w:val="00AC043A"/>
    <w:rsid w:val="00AC088A"/>
    <w:rsid w:val="00AC0B6A"/>
    <w:rsid w:val="00AC0EAF"/>
    <w:rsid w:val="00AC12BB"/>
    <w:rsid w:val="00AC24A0"/>
    <w:rsid w:val="00AC42AA"/>
    <w:rsid w:val="00AC5E3E"/>
    <w:rsid w:val="00AC6845"/>
    <w:rsid w:val="00AC6A2C"/>
    <w:rsid w:val="00AD4BA3"/>
    <w:rsid w:val="00AD6238"/>
    <w:rsid w:val="00AD6294"/>
    <w:rsid w:val="00AD6ED7"/>
    <w:rsid w:val="00AD6EEE"/>
    <w:rsid w:val="00AD74ED"/>
    <w:rsid w:val="00AE3F62"/>
    <w:rsid w:val="00AE4F79"/>
    <w:rsid w:val="00AE5A97"/>
    <w:rsid w:val="00AF194F"/>
    <w:rsid w:val="00AF2067"/>
    <w:rsid w:val="00AF2B59"/>
    <w:rsid w:val="00AF3CEF"/>
    <w:rsid w:val="00AF6299"/>
    <w:rsid w:val="00AF6C58"/>
    <w:rsid w:val="00B007E4"/>
    <w:rsid w:val="00B103D3"/>
    <w:rsid w:val="00B10DB8"/>
    <w:rsid w:val="00B2096E"/>
    <w:rsid w:val="00B212E3"/>
    <w:rsid w:val="00B2176C"/>
    <w:rsid w:val="00B232DF"/>
    <w:rsid w:val="00B3658E"/>
    <w:rsid w:val="00B37775"/>
    <w:rsid w:val="00B45BAA"/>
    <w:rsid w:val="00B57C62"/>
    <w:rsid w:val="00B65225"/>
    <w:rsid w:val="00B656DC"/>
    <w:rsid w:val="00B67BE5"/>
    <w:rsid w:val="00B80134"/>
    <w:rsid w:val="00B82458"/>
    <w:rsid w:val="00B8420B"/>
    <w:rsid w:val="00B857D1"/>
    <w:rsid w:val="00B85F4A"/>
    <w:rsid w:val="00B9529F"/>
    <w:rsid w:val="00B973ED"/>
    <w:rsid w:val="00BA02CA"/>
    <w:rsid w:val="00BA2678"/>
    <w:rsid w:val="00BA54F7"/>
    <w:rsid w:val="00BB0084"/>
    <w:rsid w:val="00BB572E"/>
    <w:rsid w:val="00BB62B5"/>
    <w:rsid w:val="00BB6966"/>
    <w:rsid w:val="00BC1C44"/>
    <w:rsid w:val="00BC1F9B"/>
    <w:rsid w:val="00BC73D2"/>
    <w:rsid w:val="00BD0419"/>
    <w:rsid w:val="00BD12DD"/>
    <w:rsid w:val="00BD2609"/>
    <w:rsid w:val="00BD524D"/>
    <w:rsid w:val="00BD56E4"/>
    <w:rsid w:val="00BE1FBB"/>
    <w:rsid w:val="00BE73BF"/>
    <w:rsid w:val="00BF363B"/>
    <w:rsid w:val="00C02996"/>
    <w:rsid w:val="00C0402C"/>
    <w:rsid w:val="00C044CE"/>
    <w:rsid w:val="00C10CB9"/>
    <w:rsid w:val="00C14104"/>
    <w:rsid w:val="00C1465E"/>
    <w:rsid w:val="00C15A77"/>
    <w:rsid w:val="00C16887"/>
    <w:rsid w:val="00C20365"/>
    <w:rsid w:val="00C25B03"/>
    <w:rsid w:val="00C25D07"/>
    <w:rsid w:val="00C32B29"/>
    <w:rsid w:val="00C353A3"/>
    <w:rsid w:val="00C37146"/>
    <w:rsid w:val="00C437FD"/>
    <w:rsid w:val="00C45D37"/>
    <w:rsid w:val="00C54E3A"/>
    <w:rsid w:val="00C60EFB"/>
    <w:rsid w:val="00C6146F"/>
    <w:rsid w:val="00C615E4"/>
    <w:rsid w:val="00C61FDE"/>
    <w:rsid w:val="00C6519C"/>
    <w:rsid w:val="00C66338"/>
    <w:rsid w:val="00C66F4D"/>
    <w:rsid w:val="00C72711"/>
    <w:rsid w:val="00C75810"/>
    <w:rsid w:val="00C80D32"/>
    <w:rsid w:val="00C81523"/>
    <w:rsid w:val="00C844F8"/>
    <w:rsid w:val="00C909EB"/>
    <w:rsid w:val="00C925FF"/>
    <w:rsid w:val="00C92DC3"/>
    <w:rsid w:val="00C9484F"/>
    <w:rsid w:val="00C9678D"/>
    <w:rsid w:val="00C96CB6"/>
    <w:rsid w:val="00CA0623"/>
    <w:rsid w:val="00CA19C1"/>
    <w:rsid w:val="00CB0760"/>
    <w:rsid w:val="00CB51F3"/>
    <w:rsid w:val="00CB65AC"/>
    <w:rsid w:val="00CC097A"/>
    <w:rsid w:val="00CC1933"/>
    <w:rsid w:val="00CC1FD0"/>
    <w:rsid w:val="00CC437F"/>
    <w:rsid w:val="00CC5610"/>
    <w:rsid w:val="00CC7731"/>
    <w:rsid w:val="00CD002C"/>
    <w:rsid w:val="00CD038E"/>
    <w:rsid w:val="00CD058B"/>
    <w:rsid w:val="00CD1521"/>
    <w:rsid w:val="00CD2118"/>
    <w:rsid w:val="00CD4748"/>
    <w:rsid w:val="00CD5B57"/>
    <w:rsid w:val="00CD781D"/>
    <w:rsid w:val="00CE091C"/>
    <w:rsid w:val="00CE38EF"/>
    <w:rsid w:val="00CE5382"/>
    <w:rsid w:val="00CE595B"/>
    <w:rsid w:val="00CE7170"/>
    <w:rsid w:val="00CF19A7"/>
    <w:rsid w:val="00CF3CFB"/>
    <w:rsid w:val="00CF7D49"/>
    <w:rsid w:val="00D00D31"/>
    <w:rsid w:val="00D062B4"/>
    <w:rsid w:val="00D07098"/>
    <w:rsid w:val="00D077B5"/>
    <w:rsid w:val="00D078D7"/>
    <w:rsid w:val="00D200A8"/>
    <w:rsid w:val="00D20B3E"/>
    <w:rsid w:val="00D23BED"/>
    <w:rsid w:val="00D2491C"/>
    <w:rsid w:val="00D258F7"/>
    <w:rsid w:val="00D27B9D"/>
    <w:rsid w:val="00D32438"/>
    <w:rsid w:val="00D36A9A"/>
    <w:rsid w:val="00D37C9B"/>
    <w:rsid w:val="00D42E01"/>
    <w:rsid w:val="00D46C3F"/>
    <w:rsid w:val="00D4769D"/>
    <w:rsid w:val="00D51201"/>
    <w:rsid w:val="00D52305"/>
    <w:rsid w:val="00D67A7D"/>
    <w:rsid w:val="00D67C83"/>
    <w:rsid w:val="00D72256"/>
    <w:rsid w:val="00D7501F"/>
    <w:rsid w:val="00D809C8"/>
    <w:rsid w:val="00D81676"/>
    <w:rsid w:val="00D818CA"/>
    <w:rsid w:val="00D8279B"/>
    <w:rsid w:val="00D848CE"/>
    <w:rsid w:val="00D9443D"/>
    <w:rsid w:val="00D95578"/>
    <w:rsid w:val="00D96A89"/>
    <w:rsid w:val="00DA2E8F"/>
    <w:rsid w:val="00DA3ECE"/>
    <w:rsid w:val="00DC38C7"/>
    <w:rsid w:val="00DC3BC6"/>
    <w:rsid w:val="00DC5E42"/>
    <w:rsid w:val="00DC636F"/>
    <w:rsid w:val="00DC781C"/>
    <w:rsid w:val="00DD2E06"/>
    <w:rsid w:val="00DE10FA"/>
    <w:rsid w:val="00DE448D"/>
    <w:rsid w:val="00DF0BEA"/>
    <w:rsid w:val="00DF5192"/>
    <w:rsid w:val="00DF5DBC"/>
    <w:rsid w:val="00DF6D32"/>
    <w:rsid w:val="00E0147D"/>
    <w:rsid w:val="00E04FDB"/>
    <w:rsid w:val="00E0596F"/>
    <w:rsid w:val="00E06103"/>
    <w:rsid w:val="00E10E8A"/>
    <w:rsid w:val="00E11F6A"/>
    <w:rsid w:val="00E17DB5"/>
    <w:rsid w:val="00E17F1F"/>
    <w:rsid w:val="00E217B6"/>
    <w:rsid w:val="00E275EC"/>
    <w:rsid w:val="00E27C7B"/>
    <w:rsid w:val="00E31B27"/>
    <w:rsid w:val="00E32853"/>
    <w:rsid w:val="00E34ED6"/>
    <w:rsid w:val="00E35EB7"/>
    <w:rsid w:val="00E42FF3"/>
    <w:rsid w:val="00E43702"/>
    <w:rsid w:val="00E453EA"/>
    <w:rsid w:val="00E46C1D"/>
    <w:rsid w:val="00E4788F"/>
    <w:rsid w:val="00E52D18"/>
    <w:rsid w:val="00E52F27"/>
    <w:rsid w:val="00E53297"/>
    <w:rsid w:val="00E53D49"/>
    <w:rsid w:val="00E54AE8"/>
    <w:rsid w:val="00E54CCC"/>
    <w:rsid w:val="00E60B84"/>
    <w:rsid w:val="00E64AB3"/>
    <w:rsid w:val="00E70A30"/>
    <w:rsid w:val="00E729BE"/>
    <w:rsid w:val="00E72BC8"/>
    <w:rsid w:val="00E83695"/>
    <w:rsid w:val="00E85B93"/>
    <w:rsid w:val="00E906F0"/>
    <w:rsid w:val="00E91E97"/>
    <w:rsid w:val="00E91F09"/>
    <w:rsid w:val="00E95E93"/>
    <w:rsid w:val="00EA3BCB"/>
    <w:rsid w:val="00EA4BBB"/>
    <w:rsid w:val="00EA7C3B"/>
    <w:rsid w:val="00EB11E0"/>
    <w:rsid w:val="00EB1ABA"/>
    <w:rsid w:val="00EB1E0E"/>
    <w:rsid w:val="00EB4CDD"/>
    <w:rsid w:val="00EC16D8"/>
    <w:rsid w:val="00EC1DBD"/>
    <w:rsid w:val="00EC26EB"/>
    <w:rsid w:val="00EC2D2D"/>
    <w:rsid w:val="00EC2DFC"/>
    <w:rsid w:val="00EC2FF8"/>
    <w:rsid w:val="00EC3CFF"/>
    <w:rsid w:val="00EC6F08"/>
    <w:rsid w:val="00ED17D6"/>
    <w:rsid w:val="00ED42DA"/>
    <w:rsid w:val="00ED6534"/>
    <w:rsid w:val="00EE0215"/>
    <w:rsid w:val="00EE07D6"/>
    <w:rsid w:val="00EE2677"/>
    <w:rsid w:val="00EE2DA4"/>
    <w:rsid w:val="00EF3927"/>
    <w:rsid w:val="00EF4662"/>
    <w:rsid w:val="00EF7A4E"/>
    <w:rsid w:val="00F022D3"/>
    <w:rsid w:val="00F0358E"/>
    <w:rsid w:val="00F03ADA"/>
    <w:rsid w:val="00F03BC1"/>
    <w:rsid w:val="00F04F91"/>
    <w:rsid w:val="00F05C93"/>
    <w:rsid w:val="00F07F0E"/>
    <w:rsid w:val="00F11C57"/>
    <w:rsid w:val="00F11F65"/>
    <w:rsid w:val="00F1492F"/>
    <w:rsid w:val="00F14A3B"/>
    <w:rsid w:val="00F14EDD"/>
    <w:rsid w:val="00F17153"/>
    <w:rsid w:val="00F21B1F"/>
    <w:rsid w:val="00F23F37"/>
    <w:rsid w:val="00F25C15"/>
    <w:rsid w:val="00F310B9"/>
    <w:rsid w:val="00F3127B"/>
    <w:rsid w:val="00F344A3"/>
    <w:rsid w:val="00F403C6"/>
    <w:rsid w:val="00F4320A"/>
    <w:rsid w:val="00F469F5"/>
    <w:rsid w:val="00F5007A"/>
    <w:rsid w:val="00F51DC9"/>
    <w:rsid w:val="00F52D95"/>
    <w:rsid w:val="00F61A15"/>
    <w:rsid w:val="00F67F2C"/>
    <w:rsid w:val="00F7269C"/>
    <w:rsid w:val="00F72D7A"/>
    <w:rsid w:val="00F73B01"/>
    <w:rsid w:val="00F75CFC"/>
    <w:rsid w:val="00F76BD2"/>
    <w:rsid w:val="00F80B8D"/>
    <w:rsid w:val="00F81A1A"/>
    <w:rsid w:val="00F83495"/>
    <w:rsid w:val="00F852A5"/>
    <w:rsid w:val="00F85C68"/>
    <w:rsid w:val="00F863AF"/>
    <w:rsid w:val="00F8796E"/>
    <w:rsid w:val="00F91979"/>
    <w:rsid w:val="00F9417E"/>
    <w:rsid w:val="00F95DB8"/>
    <w:rsid w:val="00F95E81"/>
    <w:rsid w:val="00F96E1B"/>
    <w:rsid w:val="00FA16B8"/>
    <w:rsid w:val="00FA3046"/>
    <w:rsid w:val="00FA38EE"/>
    <w:rsid w:val="00FA4AC4"/>
    <w:rsid w:val="00FA548A"/>
    <w:rsid w:val="00FA713B"/>
    <w:rsid w:val="00FA7577"/>
    <w:rsid w:val="00FB6793"/>
    <w:rsid w:val="00FC1EFA"/>
    <w:rsid w:val="00FC2B6F"/>
    <w:rsid w:val="00FC3244"/>
    <w:rsid w:val="00FD12D8"/>
    <w:rsid w:val="00FD5532"/>
    <w:rsid w:val="00FE0570"/>
    <w:rsid w:val="00FE163F"/>
    <w:rsid w:val="00FE1D31"/>
    <w:rsid w:val="00FE2F78"/>
    <w:rsid w:val="00FE45E7"/>
    <w:rsid w:val="00FE57F7"/>
    <w:rsid w:val="00FF7973"/>
    <w:rsid w:val="021128DB"/>
    <w:rsid w:val="029B0B97"/>
    <w:rsid w:val="0B970BF1"/>
    <w:rsid w:val="19812985"/>
    <w:rsid w:val="2ACF7B6B"/>
    <w:rsid w:val="2BCC621F"/>
    <w:rsid w:val="2DF7159B"/>
    <w:rsid w:val="2E5320BB"/>
    <w:rsid w:val="307E3807"/>
    <w:rsid w:val="31286D3E"/>
    <w:rsid w:val="33AC1989"/>
    <w:rsid w:val="34A84FD3"/>
    <w:rsid w:val="3E2034D0"/>
    <w:rsid w:val="4012543F"/>
    <w:rsid w:val="42C32A6D"/>
    <w:rsid w:val="4F110A18"/>
    <w:rsid w:val="51234189"/>
    <w:rsid w:val="56646F54"/>
    <w:rsid w:val="581C6092"/>
    <w:rsid w:val="5D34606F"/>
    <w:rsid w:val="5F342D0C"/>
    <w:rsid w:val="629F71AA"/>
    <w:rsid w:val="6CF22A60"/>
    <w:rsid w:val="6FD3177A"/>
    <w:rsid w:val="77DA45E4"/>
    <w:rsid w:val="7EBD06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7DFF"/>
      <v:shadow on="t" type="perspective" obscured="f" color="#BFBFBF" opacity="32768f" offset="51pt,-10pt" offset2="114pt,-8pt" origin="-32768f,-32768f" matrix="49152f,0f,0f,49152f,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jc w:val="both"/>
    </w:pPr>
    <w:rPr>
      <w:rFonts w:ascii="Calibri" w:hAnsi="Calibri" w:eastAsia="宋体" w:cs="Times New Roman"/>
      <w:sz w:val="22"/>
      <w:szCs w:val="22"/>
      <w:lang w:val="en-US" w:eastAsia="zh-CN" w:bidi="ar-SA"/>
    </w:rPr>
  </w:style>
  <w:style w:type="character" w:default="1" w:styleId="9">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caption"/>
    <w:basedOn w:val="1"/>
    <w:next w:val="1"/>
    <w:qFormat/>
    <w:uiPriority w:val="0"/>
    <w:rPr>
      <w:rFonts w:ascii="Arial" w:hAnsi="Arial" w:eastAsia="黑体" w:cs="Arial"/>
      <w:sz w:val="20"/>
      <w:szCs w:val="20"/>
    </w:rPr>
  </w:style>
  <w:style w:type="paragraph" w:styleId="3">
    <w:name w:val="Document Map"/>
    <w:basedOn w:val="1"/>
    <w:link w:val="16"/>
    <w:unhideWhenUsed/>
    <w:qFormat/>
    <w:uiPriority w:val="99"/>
    <w:pPr>
      <w:spacing w:after="0" w:line="240" w:lineRule="auto"/>
    </w:pPr>
    <w:rPr>
      <w:rFonts w:ascii="宋体"/>
      <w:sz w:val="18"/>
      <w:szCs w:val="18"/>
    </w:rPr>
  </w:style>
  <w:style w:type="paragraph" w:styleId="4">
    <w:name w:val="Balloon Text"/>
    <w:basedOn w:val="1"/>
    <w:link w:val="11"/>
    <w:unhideWhenUsed/>
    <w:qFormat/>
    <w:uiPriority w:val="99"/>
    <w:pPr>
      <w:spacing w:after="0" w:line="240" w:lineRule="auto"/>
    </w:pPr>
    <w:rPr>
      <w:rFonts w:ascii="宋体"/>
      <w:sz w:val="18"/>
      <w:szCs w:val="18"/>
    </w:rPr>
  </w:style>
  <w:style w:type="paragraph" w:styleId="5">
    <w:name w:val="footer"/>
    <w:basedOn w:val="1"/>
    <w:qFormat/>
    <w:uiPriority w:val="0"/>
    <w:pPr>
      <w:tabs>
        <w:tab w:val="center" w:pos="4153"/>
        <w:tab w:val="right" w:pos="8306"/>
      </w:tabs>
      <w:snapToGrid w:val="0"/>
      <w:spacing w:line="240" w:lineRule="auto"/>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7">
    <w:name w:val="toc 2"/>
    <w:basedOn w:val="1"/>
    <w:next w:val="1"/>
    <w:unhideWhenUsed/>
    <w:qFormat/>
    <w:uiPriority w:val="39"/>
    <w:pPr>
      <w:ind w:left="220"/>
    </w:pPr>
  </w:style>
  <w:style w:type="character" w:styleId="10">
    <w:name w:val="Strong"/>
    <w:basedOn w:val="9"/>
    <w:qFormat/>
    <w:uiPriority w:val="22"/>
    <w:rPr>
      <w:b/>
      <w:bCs/>
    </w:rPr>
  </w:style>
  <w:style w:type="character" w:customStyle="1" w:styleId="11">
    <w:name w:val="批注框文本 Char"/>
    <w:basedOn w:val="9"/>
    <w:link w:val="4"/>
    <w:semiHidden/>
    <w:qFormat/>
    <w:uiPriority w:val="99"/>
    <w:rPr>
      <w:rFonts w:ascii="宋体" w:eastAsia="宋体"/>
      <w:sz w:val="18"/>
      <w:szCs w:val="18"/>
    </w:rPr>
  </w:style>
  <w:style w:type="paragraph" w:customStyle="1" w:styleId="12">
    <w:name w:val="正文（一页纸）首行缩进"/>
    <w:basedOn w:val="13"/>
    <w:qFormat/>
    <w:uiPriority w:val="0"/>
    <w:pPr>
      <w:ind w:firstLine="200" w:firstLineChars="200"/>
    </w:pPr>
  </w:style>
  <w:style w:type="paragraph" w:customStyle="1" w:styleId="13">
    <w:name w:val="正文（一页纸）"/>
    <w:basedOn w:val="1"/>
    <w:qFormat/>
    <w:uiPriority w:val="0"/>
    <w:pPr>
      <w:spacing w:before="120" w:after="120" w:line="288" w:lineRule="auto"/>
    </w:pPr>
    <w:rPr>
      <w:rFonts w:ascii="Arial" w:hAnsi="Arial" w:eastAsia="微软雅黑"/>
      <w:sz w:val="18"/>
      <w:szCs w:val="44"/>
    </w:rPr>
  </w:style>
  <w:style w:type="paragraph" w:customStyle="1" w:styleId="14">
    <w:name w:val="小标题2（一页纸）蓝色"/>
    <w:basedOn w:val="15"/>
    <w:qFormat/>
    <w:uiPriority w:val="0"/>
    <w:pPr>
      <w:tabs>
        <w:tab w:val="left" w:pos="420"/>
      </w:tabs>
    </w:pPr>
    <w:rPr>
      <w:color w:val="0000FF"/>
    </w:rPr>
  </w:style>
  <w:style w:type="paragraph" w:customStyle="1" w:styleId="15">
    <w:name w:val="小标题2(一页纸)"/>
    <w:basedOn w:val="1"/>
    <w:qFormat/>
    <w:uiPriority w:val="0"/>
    <w:pPr>
      <w:numPr>
        <w:ilvl w:val="0"/>
        <w:numId w:val="1"/>
      </w:numPr>
      <w:spacing w:before="240" w:after="120" w:line="240" w:lineRule="auto"/>
    </w:pPr>
    <w:rPr>
      <w:rFonts w:ascii="Arial" w:hAnsi="Arial" w:eastAsia="微软雅黑"/>
      <w:b/>
      <w:sz w:val="24"/>
      <w:szCs w:val="24"/>
    </w:rPr>
  </w:style>
  <w:style w:type="character" w:customStyle="1" w:styleId="16">
    <w:name w:val="文档结构图 Char"/>
    <w:basedOn w:val="9"/>
    <w:link w:val="3"/>
    <w:semiHidden/>
    <w:qFormat/>
    <w:uiPriority w:val="99"/>
    <w:rPr>
      <w:rFonts w:ascii="宋体" w:eastAsia="宋体"/>
      <w:sz w:val="18"/>
      <w:szCs w:val="18"/>
    </w:rPr>
  </w:style>
  <w:style w:type="paragraph" w:customStyle="1" w:styleId="17">
    <w:name w:val="标题（一页纸）"/>
    <w:basedOn w:val="1"/>
    <w:qFormat/>
    <w:uiPriority w:val="0"/>
    <w:pPr>
      <w:autoSpaceDE w:val="0"/>
      <w:autoSpaceDN w:val="0"/>
      <w:adjustRightInd w:val="0"/>
      <w:spacing w:beforeLines="200" w:afterLines="100" w:line="240" w:lineRule="auto"/>
      <w:jc w:val="center"/>
    </w:pPr>
    <w:rPr>
      <w:rFonts w:ascii="Arial" w:hAnsi="Arial" w:eastAsia="黑体" w:cs="Arial"/>
      <w:b/>
      <w:bCs/>
      <w:kern w:val="44"/>
      <w:sz w:val="36"/>
      <w:szCs w:val="36"/>
    </w:rPr>
  </w:style>
  <w:style w:type="paragraph" w:customStyle="1" w:styleId="18">
    <w:name w:val="缩进小标题4（一页纸）"/>
    <w:basedOn w:val="1"/>
    <w:link w:val="19"/>
    <w:qFormat/>
    <w:uiPriority w:val="0"/>
    <w:pPr>
      <w:numPr>
        <w:ilvl w:val="0"/>
        <w:numId w:val="2"/>
      </w:numPr>
      <w:spacing w:after="0" w:line="360" w:lineRule="auto"/>
    </w:pPr>
    <w:rPr>
      <w:rFonts w:ascii="Arial" w:hAnsi="Arial" w:eastAsia="微软雅黑"/>
      <w:sz w:val="18"/>
      <w:szCs w:val="24"/>
    </w:rPr>
  </w:style>
  <w:style w:type="character" w:customStyle="1" w:styleId="19">
    <w:name w:val="缩进小标题4（一页纸） Char Char"/>
    <w:basedOn w:val="9"/>
    <w:link w:val="18"/>
    <w:qFormat/>
    <w:uiPriority w:val="0"/>
    <w:rPr>
      <w:rFonts w:ascii="Arial" w:hAnsi="Arial" w:eastAsia="微软雅黑"/>
      <w:sz w:val="18"/>
      <w:szCs w:val="24"/>
      <w:lang w:val="en-US" w:eastAsia="zh-CN" w:bidi="ar-SA"/>
    </w:rPr>
  </w:style>
  <w:style w:type="paragraph" w:customStyle="1" w:styleId="20">
    <w:name w:val="副标题（一页纸）"/>
    <w:basedOn w:val="1"/>
    <w:qFormat/>
    <w:uiPriority w:val="0"/>
    <w:pPr>
      <w:spacing w:afterLines="100" w:line="480" w:lineRule="auto"/>
      <w:jc w:val="right"/>
    </w:pPr>
    <w:rPr>
      <w:rFonts w:ascii="Arial" w:hAnsi="Arial" w:eastAsia="黑体" w:cs="Arial"/>
      <w:b/>
      <w:bCs/>
      <w:kern w:val="28"/>
      <w:sz w:val="30"/>
      <w:szCs w:val="32"/>
    </w:rPr>
  </w:style>
  <w:style w:type="paragraph" w:customStyle="1" w:styleId="21">
    <w:name w:val="主标题"/>
    <w:basedOn w:val="1"/>
    <w:qFormat/>
    <w:uiPriority w:val="0"/>
    <w:rPr>
      <w:rFonts w:eastAsia="微软雅黑" w:cs="Arial"/>
      <w:b/>
      <w:color w:val="007DFF"/>
      <w:sz w:val="52"/>
      <w:szCs w:val="52"/>
    </w:rPr>
  </w:style>
  <w:style w:type="paragraph" w:customStyle="1" w:styleId="22">
    <w:name w:val="副标"/>
    <w:basedOn w:val="1"/>
    <w:qFormat/>
    <w:uiPriority w:val="0"/>
    <w:rPr>
      <w:rFonts w:eastAsia="微软雅黑" w:cs="Arial"/>
      <w:b/>
      <w:color w:val="808080"/>
      <w:sz w:val="32"/>
      <w:szCs w:val="32"/>
    </w:rPr>
  </w:style>
  <w:style w:type="paragraph" w:customStyle="1" w:styleId="23">
    <w:name w:val="小标题1（一页纸）"/>
    <w:basedOn w:val="1"/>
    <w:qFormat/>
    <w:uiPriority w:val="0"/>
    <w:pPr>
      <w:spacing w:before="240" w:after="120" w:line="240" w:lineRule="auto"/>
    </w:pPr>
    <w:rPr>
      <w:rFonts w:ascii="Arial" w:hAnsi="Arial" w:eastAsia="微软雅黑"/>
      <w:b/>
      <w:sz w:val="24"/>
      <w:szCs w:val="24"/>
    </w:rPr>
  </w:style>
  <w:style w:type="paragraph" w:customStyle="1" w:styleId="24">
    <w:name w:val="小标题3"/>
    <w:basedOn w:val="1"/>
    <w:qFormat/>
    <w:uiPriority w:val="0"/>
    <w:pPr>
      <w:numPr>
        <w:ilvl w:val="0"/>
        <w:numId w:val="3"/>
      </w:numPr>
      <w:spacing w:before="240" w:after="120" w:line="240" w:lineRule="auto"/>
    </w:pPr>
    <w:rPr>
      <w:rFonts w:ascii="Arial" w:hAnsi="Arial" w:eastAsia="微软雅黑"/>
      <w:b/>
      <w:sz w:val="24"/>
      <w:szCs w:val="24"/>
    </w:rPr>
  </w:style>
  <w:style w:type="character" w:customStyle="1" w:styleId="25">
    <w:name w:val="缩进小标题4（一页纸） Char"/>
    <w:basedOn w:val="9"/>
    <w:qFormat/>
    <w:uiPriority w:val="0"/>
    <w:rPr>
      <w:rFonts w:ascii="Arial" w:hAnsi="Arial" w:eastAsia="微软雅黑"/>
      <w:sz w:val="21"/>
      <w:szCs w:val="24"/>
      <w:lang w:val="en-US" w:eastAsia="zh-CN" w:bidi="ar-SA"/>
    </w:rPr>
  </w:style>
  <w:style w:type="paragraph" w:customStyle="1" w:styleId="26">
    <w:name w:val="样式2"/>
    <w:basedOn w:val="2"/>
    <w:qFormat/>
    <w:uiPriority w:val="0"/>
    <w:pPr>
      <w:keepNext/>
      <w:numPr>
        <w:ilvl w:val="0"/>
        <w:numId w:val="4"/>
      </w:numPr>
      <w:spacing w:before="360" w:after="120" w:line="240" w:lineRule="auto"/>
    </w:pPr>
    <w:rPr>
      <w:rFonts w:eastAsia="微软雅黑" w:cs="Times New Roman"/>
      <w:bCs/>
      <w:sz w:val="18"/>
      <w:lang w:eastAsia="en-US"/>
    </w:rPr>
  </w:style>
  <w:style w:type="paragraph" w:customStyle="1" w:styleId="27">
    <w:name w:val="样式17"/>
    <w:basedOn w:val="2"/>
    <w:qFormat/>
    <w:uiPriority w:val="0"/>
    <w:pPr>
      <w:numPr>
        <w:ilvl w:val="0"/>
        <w:numId w:val="5"/>
      </w:numPr>
      <w:tabs>
        <w:tab w:val="left" w:pos="2000"/>
      </w:tabs>
      <w:spacing w:before="120" w:after="360" w:line="240" w:lineRule="auto"/>
      <w:jc w:val="center"/>
    </w:pPr>
    <w:rPr>
      <w:rFonts w:eastAsia="微软雅黑" w:cs="Times New Roman"/>
      <w:bCs/>
      <w:sz w:val="18"/>
      <w:lang w:eastAsia="en-US"/>
    </w:rPr>
  </w:style>
  <w:style w:type="paragraph" w:customStyle="1" w:styleId="28">
    <w:name w:val="样式 缩进小标题4（一页纸） + 非加粗"/>
    <w:basedOn w:val="18"/>
    <w:link w:val="29"/>
    <w:qFormat/>
    <w:uiPriority w:val="0"/>
    <w:pPr>
      <w:numPr>
        <w:numId w:val="0"/>
      </w:numPr>
      <w:tabs>
        <w:tab w:val="left" w:pos="420"/>
      </w:tabs>
      <w:ind w:left="200" w:leftChars="200" w:hanging="420"/>
    </w:pPr>
    <w:rPr>
      <w:b/>
      <w:sz w:val="21"/>
    </w:rPr>
  </w:style>
  <w:style w:type="character" w:customStyle="1" w:styleId="29">
    <w:name w:val="样式 缩进小标题4（一页纸） + 非加粗 Char"/>
    <w:basedOn w:val="25"/>
    <w:link w:val="28"/>
    <w:qFormat/>
    <w:uiPriority w:val="0"/>
    <w:rPr>
      <w:rFonts w:ascii="Arial" w:hAnsi="Arial" w:eastAsia="微软雅黑"/>
      <w:b/>
      <w:sz w:val="21"/>
      <w:szCs w:val="24"/>
      <w:lang w:val="en-US" w:eastAsia="zh-CN" w:bidi="ar-SA"/>
    </w:rPr>
  </w:style>
  <w:style w:type="paragraph" w:customStyle="1" w:styleId="30">
    <w:name w:val="样式1"/>
    <w:basedOn w:val="1"/>
    <w:qFormat/>
    <w:uiPriority w:val="0"/>
    <w:pPr>
      <w:numPr>
        <w:ilvl w:val="0"/>
        <w:numId w:val="6"/>
      </w:numPr>
      <w:spacing w:before="360" w:after="120" w:line="240" w:lineRule="auto"/>
    </w:pPr>
    <w:rPr>
      <w:rFonts w:ascii="Arial" w:hAnsi="Arial" w:eastAsia="微软雅黑"/>
      <w:sz w:val="18"/>
      <w:szCs w:val="24"/>
    </w:rPr>
  </w:style>
  <w:style w:type="paragraph" w:customStyle="1" w:styleId="31">
    <w:name w:val="样式3"/>
    <w:basedOn w:val="1"/>
    <w:qFormat/>
    <w:uiPriority w:val="0"/>
    <w:pPr>
      <w:numPr>
        <w:ilvl w:val="0"/>
        <w:numId w:val="7"/>
      </w:numPr>
      <w:spacing w:before="120" w:after="360" w:line="240" w:lineRule="auto"/>
      <w:jc w:val="center"/>
    </w:pPr>
    <w:rPr>
      <w:rFonts w:ascii="Arial" w:hAnsi="Arial" w:eastAsia="微软雅黑"/>
      <w:sz w:val="18"/>
      <w:szCs w:val="24"/>
    </w:rPr>
  </w:style>
  <w:style w:type="paragraph" w:customStyle="1" w:styleId="32">
    <w:name w:val="编号内正文不缩进（一页纸）"/>
    <w:basedOn w:val="1"/>
    <w:qFormat/>
    <w:uiPriority w:val="0"/>
    <w:pPr>
      <w:spacing w:before="120" w:after="120" w:line="288" w:lineRule="auto"/>
      <w:ind w:left="200" w:leftChars="200"/>
    </w:pPr>
    <w:rPr>
      <w:rFonts w:ascii="Arial" w:hAnsi="Arial" w:eastAsia="微软雅黑"/>
      <w:sz w:val="18"/>
      <w:szCs w:val="24"/>
    </w:rPr>
  </w:style>
  <w:style w:type="paragraph" w:customStyle="1" w:styleId="33">
    <w:name w:val="编号内正文首行缩进（一页纸）"/>
    <w:basedOn w:val="1"/>
    <w:qFormat/>
    <w:uiPriority w:val="0"/>
    <w:pPr>
      <w:spacing w:before="120" w:after="120" w:line="288" w:lineRule="auto"/>
      <w:ind w:left="200" w:leftChars="200" w:firstLine="200" w:firstLineChars="200"/>
    </w:pPr>
    <w:rPr>
      <w:rFonts w:ascii="Arial" w:hAnsi="Arial" w:eastAsia="微软雅黑"/>
      <w:sz w:val="18"/>
      <w:szCs w:val="24"/>
    </w:rPr>
  </w:style>
  <w:style w:type="paragraph" w:customStyle="1" w:styleId="34">
    <w:name w:val="题目"/>
    <w:basedOn w:val="1"/>
    <w:qFormat/>
    <w:uiPriority w:val="0"/>
    <w:rPr>
      <w:rFonts w:eastAsia="微软雅黑" w:cs="Arial"/>
      <w:b/>
      <w:color w:val="007DFF"/>
      <w:sz w:val="52"/>
      <w:szCs w:val="52"/>
    </w:rPr>
  </w:style>
  <w:style w:type="paragraph" w:customStyle="1" w:styleId="35">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theme" Target="theme/theme1.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Datasheet%20%20&#26032;&#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8D1D5A-21D6-4C67-AFC5-1505FE7F0D6E}">
  <ds:schemaRefs/>
</ds:datastoreItem>
</file>

<file path=docProps/app.xml><?xml version="1.0" encoding="utf-8"?>
<Properties xmlns="http://schemas.openxmlformats.org/officeDocument/2006/extended-properties" xmlns:vt="http://schemas.openxmlformats.org/officeDocument/2006/docPropsVTypes">
  <Template>Datasheet  新模板.dotx</Template>
  <Company>ZTEICT</Company>
  <Pages>7</Pages>
  <Words>1146</Words>
  <Characters>7242</Characters>
  <Lines>61</Lines>
  <Paragraphs>17</Paragraphs>
  <TotalTime>0</TotalTime>
  <ScaleCrop>false</ScaleCrop>
  <LinksUpToDate>false</LinksUpToDate>
  <CharactersWithSpaces>8461</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2018-03-14T09:55:00Z</dcterms:created>
  <dc:creator>Jeff Liu</dc:creator>
  <cp:lastModifiedBy>0096000570</cp:lastModifiedBy>
  <dcterms:modified xsi:type="dcterms:W3CDTF">2020-09-21T06:00:05Z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ies>
</file>